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Arial" w:hAnsi="Arial" w:cs="Arial" w:eastAsia="Arial"/>
          <w:b/>
          <w:i w:val="0"/>
          <w:color w:val="FF3B1F"/>
          <w:sz w:val="17"/>
        </w:rPr>
        <w:t>FIELD GUIDE RESOURCE  /  EDITABLE WORKSHEET</w:t>
      </w:r>
    </w:p>
    <w:p>
      <w:pPr>
        <w:pStyle w:val="Title"/>
        <w:spacing w:after="120"/>
      </w:pPr>
      <w:r>
        <w:rPr>
          <w:rFonts w:ascii="Arial" w:hAnsi="Arial" w:cs="Arial" w:eastAsia="Arial"/>
          <w:b/>
          <w:i w:val="0"/>
          <w:color w:val="0A0A0A"/>
          <w:sz w:val="58"/>
        </w:rPr>
        <w:t>AI-Assisted Engineering Experiment Canvas</w:t>
      </w:r>
    </w:p>
    <w:p>
      <w:pPr>
        <w:spacing w:after="240"/>
        <w:pBdr>
          <w:bottom w:val="single" w:sz="12" w:space="1" w:color="FF3B1F"/>
        </w:pBdr>
      </w:pPr>
    </w:p>
    <w:p>
      <w:pPr>
        <w:spacing w:after="200" w:line="274" w:lineRule="auto"/>
      </w:pPr>
      <w:r>
        <w:rPr>
          <w:rFonts w:ascii="Arial" w:hAnsi="Arial" w:cs="Arial" w:eastAsia="Arial"/>
          <w:b w:val="0"/>
          <w:i w:val="0"/>
          <w:color w:val="0A0A0A"/>
          <w:sz w:val="22"/>
        </w:rPr>
        <w:t>Use this canvas to run one bounded AI-assisted engineering experiment without creating a shadow delivery system. Start with a real workflow, retain human accountability, use the least access and automation needed, and decide from evidence whether to keep, adapt, expand, or stop. This is a client-neutral working template: existing security, privacy, legal, procurement, and employment policies remain authoritative, and consequential uses require appropriate review.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01</w:t>
      </w:r>
      <w:r>
        <w:rPr>
          <w:rFonts w:ascii="Arial" w:hAnsi="Arial" w:cs="Arial" w:eastAsia="Arial"/>
          <w:b/>
          <w:i w:val="0"/>
          <w:color w:val="0A0A0A"/>
          <w:sz w:val="31"/>
        </w:rPr>
        <w:t>FRAME THE EXPERIMENT</w:t>
      </w:r>
    </w:p>
    <w:tbl>
      <w:tblPr>
        <w:tblW w:type="dxa" w:w="1008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4200"/>
        <w:gridCol w:w="5880"/>
      </w:tblGrid>
      <w:tr>
        <w:trPr>
          <w:cantSplit w:val="true"/>
          <w:tblHeader w:val="true"/>
        </w:trPr>
        <w:tc>
          <w:tcPr>
            <w:tcW w:type="dxa" w:w="420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PROMPT</w:t>
            </w:r>
          </w:p>
        </w:tc>
        <w:tc>
          <w:tcPr>
            <w:tcW w:type="dxa" w:w="588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RECORD</w:t>
            </w:r>
          </w:p>
        </w:tc>
      </w:tr>
      <w:tr>
        <w:trPr>
          <w:cantSplit w:val="true"/>
        </w:trPr>
        <w:tc>
          <w:tcPr>
            <w:tcW w:type="dxa" w:w="420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Workflow or job to improve</w:t>
            </w:r>
          </w:p>
        </w:tc>
        <w:tc>
          <w:tcPr>
            <w:tcW w:type="dxa" w:w="58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420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Team and accountable owner</w:t>
            </w:r>
          </w:p>
        </w:tc>
        <w:tc>
          <w:tcPr>
            <w:tcW w:type="dxa" w:w="58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420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Starting condition or friction</w:t>
            </w:r>
          </w:p>
        </w:tc>
        <w:tc>
          <w:tcPr>
            <w:tcW w:type="dxa" w:w="58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420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Intended benefit</w:t>
            </w:r>
          </w:p>
        </w:tc>
        <w:tc>
          <w:tcPr>
            <w:tcW w:type="dxa" w:w="58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Quality / speed / insight / risk reduction</w:t>
            </w:r>
          </w:p>
        </w:tc>
      </w:tr>
      <w:tr>
        <w:trPr>
          <w:cantSplit w:val="true"/>
        </w:trPr>
        <w:tc>
          <w:tcPr>
            <w:tcW w:type="dxa" w:w="420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Non-AI alternative considered</w:t>
            </w:r>
          </w:p>
        </w:tc>
        <w:tc>
          <w:tcPr>
            <w:tcW w:type="dxa" w:w="58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420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Time boundary and review date</w:t>
            </w:r>
          </w:p>
        </w:tc>
        <w:tc>
          <w:tcPr>
            <w:tcW w:type="dxa" w:w="58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420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Decision at the end</w:t>
            </w:r>
          </w:p>
        </w:tc>
        <w:tc>
          <w:tcPr>
            <w:tcW w:type="dxa" w:w="58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Keep / adapt / expand / hold / stop</w:t>
            </w: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02</w:t>
      </w:r>
      <w:r>
        <w:rPr>
          <w:rFonts w:ascii="Arial" w:hAnsi="Arial" w:cs="Arial" w:eastAsia="Arial"/>
          <w:b/>
          <w:i w:val="0"/>
          <w:color w:val="0A0A0A"/>
          <w:sz w:val="31"/>
        </w:rPr>
        <w:t>SET THE BOUNDARY BEFORE ENABLING ACCESS</w:t>
      </w:r>
    </w:p>
    <w:tbl>
      <w:tblPr>
        <w:tblW w:type="dxa" w:w="1008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5555"/>
        <w:gridCol w:w="4525"/>
      </w:tblGrid>
      <w:tr>
        <w:trPr>
          <w:cantSplit w:val="true"/>
          <w:tblHeader w:val="true"/>
        </w:trPr>
        <w:tc>
          <w:tcPr>
            <w:tcW w:type="dxa" w:w="555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PROMPT</w:t>
            </w:r>
          </w:p>
        </w:tc>
        <w:tc>
          <w:tcPr>
            <w:tcW w:type="dxa" w:w="452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RECORD</w:t>
            </w:r>
          </w:p>
        </w:tc>
      </w:tr>
      <w:tr>
        <w:trPr>
          <w:cantSplit w:val="true"/>
        </w:trPr>
        <w:tc>
          <w:tcPr>
            <w:tcW w:type="dxa" w:w="555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Tool, provider, model, or integration</w:t>
            </w:r>
          </w:p>
        </w:tc>
        <w:tc>
          <w:tcPr>
            <w:tcW w:type="dxa" w:w="452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555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Data allowed</w:t>
            </w:r>
          </w:p>
        </w:tc>
        <w:tc>
          <w:tcPr>
            <w:tcW w:type="dxa" w:w="452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555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Data prohibited</w:t>
            </w:r>
          </w:p>
        </w:tc>
        <w:tc>
          <w:tcPr>
            <w:tcW w:type="dxa" w:w="452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555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Environment or repository boundary</w:t>
            </w:r>
          </w:p>
        </w:tc>
        <w:tc>
          <w:tcPr>
            <w:tcW w:type="dxa" w:w="452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555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Permission level</w:t>
            </w:r>
          </w:p>
        </w:tc>
        <w:tc>
          <w:tcPr>
            <w:tcW w:type="dxa" w:w="452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Read / draft / recommend / act with approval</w:t>
            </w:r>
          </w:p>
        </w:tc>
      </w:tr>
      <w:tr>
        <w:trPr>
          <w:cantSplit w:val="true"/>
        </w:trPr>
        <w:tc>
          <w:tcPr>
            <w:tcW w:type="dxa" w:w="555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Who may approve an action or release?</w:t>
            </w:r>
          </w:p>
        </w:tc>
        <w:tc>
          <w:tcPr>
            <w:tcW w:type="dxa" w:w="452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555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Escalation path for unexpected access or harmful output</w:t>
            </w:r>
          </w:p>
        </w:tc>
        <w:tc>
          <w:tcPr>
            <w:tcW w:type="dxa" w:w="452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03</w:t>
      </w:r>
      <w:r>
        <w:rPr>
          <w:rFonts w:ascii="Arial" w:hAnsi="Arial" w:cs="Arial" w:eastAsia="Arial"/>
          <w:b/>
          <w:i w:val="0"/>
          <w:color w:val="0A0A0A"/>
          <w:sz w:val="31"/>
        </w:rPr>
        <w:t>KEEP NORMAL ENGINEERING OWNERSHIP</w:t>
      </w:r>
    </w:p>
    <w:tbl>
      <w:tblPr>
        <w:tblW w:type="dxa" w:w="1008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5015"/>
        <w:gridCol w:w="3985"/>
        <w:gridCol w:w="1080"/>
      </w:tblGrid>
      <w:tr>
        <w:trPr>
          <w:cantSplit w:val="true"/>
          <w:tblHeader w:val="true"/>
        </w:trPr>
        <w:tc>
          <w:tcPr>
            <w:tcW w:type="dxa" w:w="501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AREA</w:t>
            </w:r>
          </w:p>
        </w:tc>
        <w:tc>
          <w:tcPr>
            <w:tcW w:type="dxa" w:w="398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NORMAL PRACTICE THAT STILL APPLIES</w:t>
            </w:r>
          </w:p>
        </w:tc>
        <w:tc>
          <w:tcPr>
            <w:tcW w:type="dxa" w:w="108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OWNER</w:t>
            </w:r>
          </w:p>
        </w:tc>
      </w:tr>
      <w:tr>
        <w:trPr>
          <w:cantSplit w:val="true"/>
        </w:trPr>
        <w:tc>
          <w:tcPr>
            <w:tcW w:type="dxa" w:w="501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Design and technical approach</w:t>
            </w:r>
          </w:p>
        </w:tc>
        <w:tc>
          <w:tcPr>
            <w:tcW w:type="dxa" w:w="398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0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501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Code review</w:t>
            </w:r>
          </w:p>
        </w:tc>
        <w:tc>
          <w:tcPr>
            <w:tcW w:type="dxa" w:w="398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0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501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Tests and acceptance</w:t>
            </w:r>
          </w:p>
        </w:tc>
        <w:tc>
          <w:tcPr>
            <w:tcW w:type="dxa" w:w="398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0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501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Deployment or release</w:t>
            </w:r>
          </w:p>
        </w:tc>
        <w:tc>
          <w:tcPr>
            <w:tcW w:type="dxa" w:w="398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0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501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Production monitoring and incident response</w:t>
            </w:r>
          </w:p>
        </w:tc>
        <w:tc>
          <w:tcPr>
            <w:tcW w:type="dxa" w:w="398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0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spacing w:after="140" w:line="264" w:lineRule="auto"/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AI output is input to accountable human work. It is not evidence of correctness merely because it is syntactically valid, confident, or fast to produce.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04</w:t>
      </w:r>
      <w:r>
        <w:rPr>
          <w:rFonts w:ascii="Arial" w:hAnsi="Arial" w:cs="Arial" w:eastAsia="Arial"/>
          <w:b/>
          <w:i w:val="0"/>
          <w:color w:val="0A0A0A"/>
          <w:sz w:val="31"/>
        </w:rPr>
        <w:t>DEFINE THE EVIDENCE AND STOP CONDITIONS</w:t>
      </w:r>
    </w:p>
    <w:tbl>
      <w:tblPr>
        <w:tblW w:type="dxa" w:w="1008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3607"/>
        <w:gridCol w:w="2334"/>
        <w:gridCol w:w="4139"/>
      </w:tblGrid>
      <w:tr>
        <w:trPr>
          <w:cantSplit w:val="true"/>
          <w:tblHeader w:val="true"/>
        </w:trPr>
        <w:tc>
          <w:tcPr>
            <w:tcW w:type="dxa" w:w="3607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EVIDENCE AREA</w:t>
            </w:r>
          </w:p>
        </w:tc>
        <w:tc>
          <w:tcPr>
            <w:tcW w:type="dxa" w:w="2334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WHAT WILL YOU OBSERVE?</w:t>
            </w:r>
          </w:p>
        </w:tc>
        <w:tc>
          <w:tcPr>
            <w:tcW w:type="dxa" w:w="4139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WHAT WOULD TRIGGER A PAUSE OR REDESIGN?</w:t>
            </w:r>
          </w:p>
        </w:tc>
      </w:tr>
      <w:tr>
        <w:trPr>
          <w:cantSplit w:val="true"/>
        </w:trPr>
        <w:tc>
          <w:tcPr>
            <w:tcW w:type="dxa" w:w="360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Value or workflow improvement</w:t>
            </w:r>
          </w:p>
        </w:tc>
        <w:tc>
          <w:tcPr>
            <w:tcW w:type="dxa" w:w="233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13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360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Quality and rework</w:t>
            </w:r>
          </w:p>
        </w:tc>
        <w:tc>
          <w:tcPr>
            <w:tcW w:type="dxa" w:w="233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13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360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Review burden</w:t>
            </w:r>
          </w:p>
        </w:tc>
        <w:tc>
          <w:tcPr>
            <w:tcW w:type="dxa" w:w="233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13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360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Safety, access, or policy boundary</w:t>
            </w:r>
          </w:p>
        </w:tc>
        <w:tc>
          <w:tcPr>
            <w:tcW w:type="dxa" w:w="233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13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360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Team capability and adoption</w:t>
            </w:r>
          </w:p>
        </w:tc>
        <w:tc>
          <w:tcPr>
            <w:tcW w:type="dxa" w:w="233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13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360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Operational implication</w:t>
            </w:r>
          </w:p>
        </w:tc>
        <w:tc>
          <w:tcPr>
            <w:tcW w:type="dxa" w:w="233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13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spacing w:after="140" w:line="264" w:lineRule="auto"/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Do not use raw prompts, token volume, or individual tool use as a proxy for value, quality, or individual performance.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05</w:t>
      </w:r>
      <w:r>
        <w:rPr>
          <w:rFonts w:ascii="Arial" w:hAnsi="Arial" w:cs="Arial" w:eastAsia="Arial"/>
          <w:b/>
          <w:i w:val="0"/>
          <w:color w:val="0A0A0A"/>
          <w:sz w:val="31"/>
        </w:rPr>
        <w:t>REVIEW AND DECIDE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did the team actually use the tool for, and what did it replace or reduce?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Where did a human correct, reject, or rework the output?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Did review, test, delivery, or production evidence reveal a new failure mode?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Which boundary, control, or capability support should change?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Should this use case keep, adapt, expand, hold, or stop?</w:t>
      </w:r>
    </w:p>
    <w:tbl>
      <w:tblPr>
        <w:tblW w:type="dxa" w:w="1008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1417"/>
        <w:gridCol w:w="3466"/>
        <w:gridCol w:w="2677"/>
        <w:gridCol w:w="2520"/>
      </w:tblGrid>
      <w:tr>
        <w:trPr>
          <w:cantSplit w:val="true"/>
          <w:tblHeader w:val="true"/>
        </w:trPr>
        <w:tc>
          <w:tcPr>
            <w:tcW w:type="dxa" w:w="1417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DECISION</w:t>
            </w:r>
          </w:p>
        </w:tc>
        <w:tc>
          <w:tcPr>
            <w:tcW w:type="dxa" w:w="3466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EVIDENCE AND TRADE-OFF</w:t>
            </w:r>
          </w:p>
        </w:tc>
        <w:tc>
          <w:tcPr>
            <w:tcW w:type="dxa" w:w="2677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ACCOUNTABLE OWNER</w:t>
            </w:r>
          </w:p>
        </w:tc>
        <w:tc>
          <w:tcPr>
            <w:tcW w:type="dxa" w:w="252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NEXT REVIEW DATE</w:t>
            </w:r>
          </w:p>
        </w:tc>
      </w:tr>
      <w:tr>
        <w:trPr>
          <w:cantSplit w:val="true"/>
        </w:trPr>
        <w:tc>
          <w:tcPr>
            <w:tcW w:type="dxa" w:w="141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46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67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52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080" w:bottom="1037" w:left="1080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  <w:spacing w:before="60" w:after="0"/>
      <w:pBdr>
        <w:top w:val="single" w:sz="5" w:space="4" w:color="0A0A0A"/>
      </w:pBdr>
    </w:pPr>
    <w:r>
      <w:rPr>
        <w:rFonts w:ascii="Arial" w:hAnsi="Arial" w:cs="Arial" w:eastAsia="Arial"/>
        <w:b/>
        <w:i w:val="0"/>
        <w:color w:val="0A0A0A"/>
        <w:sz w:val="14"/>
      </w:rPr>
      <w:t>PUBLIC WORKING RESOURCE  /  AI-ASSISTED ENGINEERING EXPERIMENT CANVAS</w:t>
    </w:r>
    <w:r>
      <w:tab/>
      <w:t xml:space="preserve">PAGE </w:t>
    </w:r>
    <w:r>
      <w:rPr>
        <w:rFonts w:ascii="Arial" w:hAnsi="Arial" w:cs="Arial" w:eastAsia="Arial"/>
        <w:color w:val="0A0A0A"/>
        <w:sz w:val="15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10080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3900"/>
      <w:gridCol w:w="5760"/>
      <w:gridCol w:w="420"/>
    </w:tblGrid>
    <w:tr>
      <w:tc>
        <w:tcPr>
          <w:tcW w:type="dxa" w:w="390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</w:pPr>
          <w:r>
            <w:rPr>
              <w:rFonts w:ascii="Arial" w:hAnsi="Arial" w:cs="Arial" w:eastAsia="Arial"/>
              <w:b/>
              <w:i w:val="0"/>
              <w:color w:val="0A0A0A"/>
              <w:sz w:val="16"/>
            </w:rPr>
            <w:t>DAVID BEVERIDGE</w:t>
          </w:r>
        </w:p>
      </w:tc>
      <w:tc>
        <w:tcPr>
          <w:tcW w:type="dxa" w:w="576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rPr>
              <w:rFonts w:ascii="Arial" w:hAnsi="Arial" w:cs="Arial" w:eastAsia="Arial"/>
              <w:b w:val="0"/>
              <w:i w:val="0"/>
              <w:color w:val="0A0A0A"/>
              <w:sz w:val="15"/>
            </w:rPr>
            <w:t>PRODUCT ENGINEERING OPERATING PARTNER</w:t>
          </w:r>
        </w:p>
      </w:tc>
      <w:tc>
        <w:tcPr>
          <w:tcW w:type="dxa" w:w="42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73736" cy="173736"/>
                <wp:docPr id="1" name="Picture 1" descr="David Beveridge decision-point companion mark" title="Decision-point mark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ecision-point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" cy="17373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after="0" w:line="20" w:lineRule="exact"/>
      <w:pBdr>
        <w:bottom w:val="single" w:sz="5" w:space="5" w:color="0A0A0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81">
    <w:multiLevelType w:val="singleLevel"/>
    <w:lvl w:ilvl="0">
      <w:start w:val="1"/>
      <w:numFmt w:val="bullet"/>
      <w:lvlText w:val="•"/>
      <w:lvlJc w:val="left"/>
      <w:pPr>
        <w:ind w:left="720" w:hanging="360"/>
        <w:tabs>
          <w:tab w:val="num" w:pos="720"/>
        </w:tabs>
      </w:pPr>
      <w:rPr>
        <w:rFonts w:ascii="Arial" w:hAnsi="Arial"/>
      </w:rPr>
    </w:lvl>
  </w:abstractNum>
  <w:num w:numId="81">
    <w:abstractNumId w:val="81"/>
  </w:num>
  <w:abstractNum w:abstractNumId="82">
    <w:multiLevelType w:val="singleLevel"/>
    <w:lvl w:ilvl="0">
      <w:start w:val="1"/>
      <w:numFmt w:val="decimal"/>
      <w:lvlText w:val="%1."/>
      <w:lvlJc w:val="left"/>
      <w:pPr>
        <w:ind w:left="720" w:hanging="360"/>
        <w:tabs>
          <w:tab w:val="num" w:pos="720"/>
        </w:tabs>
      </w:pPr>
    </w:lvl>
  </w:abstractNum>
  <w:num w:numId="82">
    <w:abstractNumId w:val="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Arial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Aria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cs="Arial"/>
      <w:b w:val="0"/>
      <w:i w:val="0"/>
      <w:color w:val="0A0A0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59" w:lineRule="auto"/>
      <w:outlineLvl w:val="0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59" w:lineRule="auto"/>
      <w:outlineLvl w:val="2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 w:cs="Arial"/>
      <w:b/>
      <w:i w:val="0"/>
      <w:color w:val="0A0A0A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 w:line="259" w:lineRule="auto"/>
    </w:pPr>
    <w:rPr>
      <w:rFonts w:asciiTheme="majorHAnsi" w:eastAsiaTheme="majorEastAsia" w:hAnsiTheme="majorHAnsi" w:cstheme="majorBidi" w:ascii="Arial" w:hAnsi="Arial" w:cs="Arial"/>
      <w:b w:val="0"/>
      <w:i w:val="0"/>
      <w:iCs/>
      <w:color w:val="0A0A0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paragraph" w:customStyle="1" w:styleId="Kicker">
    <w:name w:val="Kicker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SmallMetadata">
    <w:name w:val="Small Metadata"/>
    <w:pPr>
      <w:spacing w:before="0" w:after="80" w:line="259" w:lineRule="auto"/>
    </w:pPr>
    <w:rPr>
      <w:rFonts w:ascii="Arial" w:hAnsi="Arial" w:cs="Arial"/>
      <w:b w:val="0"/>
      <w:i w:val="0"/>
      <w:color w:val="0A0A0A"/>
      <w:sz w:val="17"/>
    </w:rPr>
  </w:style>
  <w:style w:type="paragraph" w:customStyle="1" w:styleId="EvidenceLabel">
    <w:name w:val="Evidence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BodySerif">
    <w:name w:val="Body Serif"/>
    <w:pPr>
      <w:spacing w:before="0" w:after="80" w:line="259" w:lineRule="auto"/>
    </w:pPr>
    <w:rPr>
      <w:rFonts w:ascii="Arial" w:hAnsi="Arial" w:cs="Arial"/>
      <w:b w:val="0"/>
      <w:i w:val="0"/>
      <w:color w:val="0A0A0A"/>
      <w:sz w:val="22"/>
    </w:rPr>
  </w:style>
  <w:style w:type="paragraph" w:customStyle="1" w:styleId="BodySans">
    <w:name w:val="Body Sans"/>
    <w:pPr>
      <w:spacing w:before="0" w:after="80" w:line="259" w:lineRule="auto"/>
    </w:pPr>
    <w:rPr>
      <w:rFonts w:ascii="Arial" w:hAnsi="Arial" w:cs="Arial"/>
      <w:b w:val="0"/>
      <w:i w:val="0"/>
      <w:color w:val="0A0A0A"/>
      <w:sz w:val="21"/>
    </w:rPr>
  </w:style>
  <w:style w:type="paragraph" w:customStyle="1" w:styleId="TableHead">
    <w:name w:val="Table Head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TableBody">
    <w:name w:val="Table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19"/>
    </w:rPr>
  </w:style>
  <w:style w:type="paragraph" w:customStyle="1" w:styleId="CalloutLabel">
    <w:name w:val="Callout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CalloutBody">
    <w:name w:val="Callout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A0A0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A0A0A"/>
      </a:dk2>
      <a:lt2>
        <a:srgbClr val="0A0A0A"/>
      </a:lt2>
      <a:accent1>
        <a:srgbClr val="0A0A0A"/>
      </a:accent1>
      <a:accent2>
        <a:srgbClr val="0A0A0A"/>
      </a:accent2>
      <a:accent3>
        <a:srgbClr val="0A0A0A"/>
      </a:accent3>
      <a:accent4>
        <a:srgbClr val="0A0A0A"/>
      </a:accent4>
      <a:accent5>
        <a:srgbClr val="0A0A0A"/>
      </a:accent5>
      <a:accent6>
        <a:srgbClr val="0A0A0A"/>
      </a:accent6>
      <a:hlink>
        <a:srgbClr val="0A0A0A"/>
      </a:hlink>
      <a:folHlink>
        <a:srgbClr val="0A0A0A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0A0A0A"/>
              </a:schemeClr>
            </a:gs>
            <a:gs pos="35000">
              <a:schemeClr val="phClr">
                <a:tint val="37000"/>
                <a:satMod val="0A0A0A"/>
              </a:schemeClr>
            </a:gs>
            <a:gs pos="100000">
              <a:schemeClr val="phClr">
                <a:tint val="15000"/>
                <a:satMod val="0A0A0A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0A0A0A"/>
                <a:shade val="0A0A0A"/>
                <a:satMod val="0A0A0A"/>
              </a:schemeClr>
            </a:gs>
            <a:gs pos="100000">
              <a:schemeClr val="phClr">
                <a:tint val="50000"/>
                <a:shade val="0A0A0A"/>
                <a:satMod val="0A0A0A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0A0A0A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0A0A0A"/>
              </a:schemeClr>
            </a:gs>
            <a:gs pos="40000">
              <a:schemeClr val="phClr">
                <a:tint val="45000"/>
                <a:shade val="99000"/>
                <a:satMod val="0A0A0A"/>
              </a:schemeClr>
            </a:gs>
            <a:gs pos="100000">
              <a:schemeClr val="phClr">
                <a:shade val="20000"/>
                <a:satMod val="0A0A0A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0A0A0A"/>
              </a:schemeClr>
            </a:gs>
            <a:gs pos="100000">
              <a:schemeClr val="phClr">
                <a:shade val="30000"/>
                <a:satMod val="0A0A0A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AI-Assisted Engineering Experiment Canvas</dc:title>
  <dc:subject>Editable product-engineering operating-system working resource</dc:subject>
  <dc:creator>David Beveridge</dc:creator>
  <cp:keywords/>
  <dc:description>Client-neutral public worksheet. Follow the stated boundary and local policies.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