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rFonts w:ascii="Arial" w:hAnsi="Arial" w:cs="Arial" w:eastAsia="Arial"/>
          <w:b/>
          <w:i w:val="0"/>
          <w:color w:val="FF3B1F"/>
          <w:sz w:val="17"/>
        </w:rPr>
        <w:t>FIELD GUIDE RESOURCE  /  EDITABLE WORKSHEET</w:t>
      </w:r>
    </w:p>
    <w:p>
      <w:pPr>
        <w:pStyle w:val="Title"/>
        <w:spacing w:after="120"/>
      </w:pPr>
      <w:r>
        <w:rPr>
          <w:rFonts w:ascii="Arial" w:hAnsi="Arial" w:cs="Arial" w:eastAsia="Arial"/>
          <w:b/>
          <w:i w:val="0"/>
          <w:color w:val="0A0A0A"/>
          <w:sz w:val="54"/>
        </w:rPr>
        <w:t>Decision Ledger</w:t>
      </w:r>
    </w:p>
    <w:p>
      <w:pPr>
        <w:spacing w:after="240"/>
        <w:pBdr>
          <w:bottom w:val="single" w:sz="12" w:space="1" w:color="FF3B1F"/>
        </w:pBdr>
      </w:pPr>
    </w:p>
    <w:p>
      <w:pPr>
        <w:spacing w:after="200" w:line="274" w:lineRule="auto"/>
      </w:pPr>
      <w:r>
        <w:rPr>
          <w:rFonts w:ascii="Arial" w:hAnsi="Arial" w:cs="Arial" w:eastAsia="Arial"/>
          <w:b w:val="0"/>
          <w:i w:val="0"/>
          <w:color w:val="0A0A0A"/>
          <w:sz w:val="22"/>
        </w:rPr>
        <w:t>Use this record for a consequential product, technical, investment, delivery, or ownership decision. Do not use it to formalize routine, easy-to-reverse day-to-day choices.</w:t>
      </w:r>
    </w:p>
    <w:p>
      <w:pPr>
        <w:spacing w:after="200" w:line="274" w:lineRule="auto"/>
      </w:pPr>
      <w:r>
        <w:rPr>
          <w:rFonts w:ascii="Arial" w:hAnsi="Arial" w:cs="Arial" w:eastAsia="Arial"/>
          <w:b w:val="0"/>
          <w:i w:val="0"/>
          <w:color w:val="0A0A0A"/>
          <w:sz w:val="22"/>
        </w:rPr>
        <w:t>This is a client-neutral worksheet. Adapt it to the system where your team already keeps decisions. Do not use it to replace security, privacy, legal, HR, finance, or client-policy review.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0A0A0A"/>
          <w:sz w:val="31"/>
        </w:rPr>
        <w:t>DECISION AT A GLANCE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Decision: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Accountable owner: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Date opened: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Decision date or trigger: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Reversibility:</w:t>
      </w:r>
      <w:r>
        <w:rPr>
          <w:rFonts w:ascii="Arial" w:hAnsi="Arial" w:cs="Arial" w:eastAsia="Arial"/>
          <w:b w:val="0"/>
          <w:i w:val="0"/>
          <w:color w:val="0A0A0A"/>
          <w:sz w:val="20"/>
        </w:rPr>
        <w:t xml:space="preserve"> easy / costly / hard to reverse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Outcome this decision should support: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0A0A0A"/>
          <w:sz w:val="31"/>
        </w:rPr>
        <w:t>CONTEXT</w:t>
      </w:r>
    </w:p>
    <w:p>
      <w:pPr>
        <w:spacing w:after="140" w:line="264" w:lineRule="auto"/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What is happening now? Why does this decision matter? What will be different if the team makes no decision?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0A0A0A"/>
          <w:sz w:val="31"/>
        </w:rPr>
        <w:t>OPTIONS AND TRADE-OFFS</w:t>
      </w:r>
    </w:p>
    <w:tbl>
      <w:tblPr>
        <w:tblW w:type="dxa" w:w="13968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1632"/>
        <w:gridCol w:w="1632"/>
        <w:gridCol w:w="3628"/>
        <w:gridCol w:w="1814"/>
        <w:gridCol w:w="5262"/>
      </w:tblGrid>
      <w:tr>
        <w:trPr>
          <w:cantSplit w:val="true"/>
          <w:tblHeader w:val="true"/>
        </w:trPr>
        <w:tc>
          <w:tcPr>
            <w:tcW w:type="dxa" w:w="1632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OPTION</w:t>
            </w:r>
          </w:p>
        </w:tc>
        <w:tc>
          <w:tcPr>
            <w:tcW w:type="dxa" w:w="1632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BENEFITS</w:t>
            </w:r>
          </w:p>
        </w:tc>
        <w:tc>
          <w:tcPr>
            <w:tcW w:type="dxa" w:w="3628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COSTS AND TRADE-OFFS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MAIN RISKS</w:t>
            </w:r>
          </w:p>
        </w:tc>
        <w:tc>
          <w:tcPr>
            <w:tcW w:type="dxa" w:w="5262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DECISION OWNER’S CURRENT VIEW</w:t>
            </w:r>
          </w:p>
        </w:tc>
      </w:tr>
      <w:tr>
        <w:trPr>
          <w:cantSplit w:val="true"/>
        </w:trPr>
        <w:tc>
          <w:tcPr>
            <w:tcW w:type="dxa" w:w="163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63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362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81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526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163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63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362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81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526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163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63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362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81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526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0A0A0A"/>
          <w:sz w:val="31"/>
        </w:rPr>
        <w:t>EVIDENCE AND UNCERTAINTY</w:t>
      </w:r>
    </w:p>
    <w:tbl>
      <w:tblPr>
        <w:tblW w:type="dxa" w:w="13968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205"/>
        <w:gridCol w:w="3675"/>
        <w:gridCol w:w="3308"/>
        <w:gridCol w:w="4780"/>
      </w:tblGrid>
      <w:tr>
        <w:trPr>
          <w:cantSplit w:val="true"/>
          <w:tblHeader w:val="true"/>
        </w:trPr>
        <w:tc>
          <w:tcPr>
            <w:tcW w:type="dxa" w:w="2205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EVIDENCE AVAILABLE</w:t>
            </w:r>
          </w:p>
        </w:tc>
        <w:tc>
          <w:tcPr>
            <w:tcW w:type="dxa" w:w="3675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CONFIDENCE</w:t>
            </w:r>
          </w:p>
        </w:tc>
        <w:tc>
          <w:tcPr>
            <w:tcW w:type="dxa" w:w="3308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ASSUMPTION STILL BEING MADE</w:t>
            </w:r>
          </w:p>
        </w:tc>
        <w:tc>
          <w:tcPr>
            <w:tcW w:type="dxa" w:w="478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SMALLEST NEXT WAY TO TEST OR RESOLVE IT</w:t>
            </w:r>
          </w:p>
        </w:tc>
      </w:tr>
      <w:tr>
        <w:trPr>
          <w:cantSplit w:val="true"/>
        </w:trPr>
        <w:tc>
          <w:tcPr>
            <w:tcW w:type="dxa" w:w="220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367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supported / thin / conflicting</w:t>
            </w:r>
          </w:p>
        </w:tc>
        <w:tc>
          <w:tcPr>
            <w:tcW w:type="dxa" w:w="330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47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220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367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supported / thin / conflicting</w:t>
            </w:r>
          </w:p>
        </w:tc>
        <w:tc>
          <w:tcPr>
            <w:tcW w:type="dxa" w:w="330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47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0A0A0A"/>
          <w:sz w:val="31"/>
        </w:rPr>
        <w:t>DECISION AND CONSEQUENCES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Decision or recommendation: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What we will do next: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What we will not do or will defer: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Owner and next review: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Revisit trigger:</w:t>
      </w:r>
      <w:r>
        <w:rPr>
          <w:rFonts w:ascii="Arial" w:hAnsi="Arial" w:cs="Arial" w:eastAsia="Arial"/>
          <w:b w:val="0"/>
          <w:i w:val="0"/>
          <w:color w:val="0A0A0A"/>
          <w:sz w:val="20"/>
        </w:rPr>
        <w:t xml:space="preserve"> new evidence / material risk / dependency change / dated review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Who needs the result: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0A0A0A"/>
          <w:sz w:val="31"/>
        </w:rPr>
        <w:t>CLOSE THE RECORD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Confirm that the accountable owner made or accepted the decision.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Share the decision, trade-offs, and next action with affected owners.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Link the record to the initiative, roadmap, risk, or operating-review record it changes.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Reopen it only when the stated trigger, evidence, or authority changes.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893" w:right="936" w:bottom="893" w:left="936" w:header="403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3968" w:val="right"/>
      </w:tabs>
      <w:spacing w:before="60" w:after="0"/>
      <w:pBdr>
        <w:top w:val="single" w:sz="5" w:space="4" w:color="0A0A0A"/>
      </w:pBdr>
    </w:pPr>
    <w:r>
      <w:rPr>
        <w:rFonts w:ascii="Arial" w:hAnsi="Arial" w:cs="Arial" w:eastAsia="Arial"/>
        <w:b/>
        <w:i w:val="0"/>
        <w:color w:val="0A0A0A"/>
        <w:sz w:val="14"/>
      </w:rPr>
      <w:t>PUBLIC WORKING RESOURCE  /  DECISION LEDGER</w:t>
    </w:r>
    <w:r>
      <w:tab/>
      <w:t xml:space="preserve">PAGE </w:t>
    </w:r>
    <w:r>
      <w:rPr>
        <w:rFonts w:ascii="Arial" w:hAnsi="Arial" w:cs="Arial" w:eastAsia="Arial"/>
        <w:color w:val="0A0A0A"/>
        <w:sz w:val="15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13968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5400"/>
      <w:gridCol w:w="8148"/>
      <w:gridCol w:w="420"/>
    </w:tblGrid>
    <w:tr>
      <w:tc>
        <w:tcPr>
          <w:tcW w:type="dxa" w:w="5400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</w:pPr>
          <w:r>
            <w:rPr>
              <w:rFonts w:ascii="Arial" w:hAnsi="Arial" w:cs="Arial" w:eastAsia="Arial"/>
              <w:b/>
              <w:i w:val="0"/>
              <w:color w:val="0A0A0A"/>
              <w:sz w:val="16"/>
            </w:rPr>
            <w:t>DAVID BEVERIDGE</w:t>
          </w:r>
        </w:p>
      </w:tc>
      <w:tc>
        <w:tcPr>
          <w:tcW w:type="dxa" w:w="8148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  <w:jc w:val="right"/>
          </w:pPr>
          <w:r>
            <w:rPr>
              <w:rFonts w:ascii="Arial" w:hAnsi="Arial" w:cs="Arial" w:eastAsia="Arial"/>
              <w:b w:val="0"/>
              <w:i w:val="0"/>
              <w:color w:val="0A0A0A"/>
              <w:sz w:val="15"/>
            </w:rPr>
            <w:t>PRODUCT ENGINEERING OPERATING PARTNER</w:t>
          </w:r>
        </w:p>
      </w:tc>
      <w:tc>
        <w:tcPr>
          <w:tcW w:type="dxa" w:w="420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73736" cy="173736"/>
                <wp:docPr id="1" name="Picture 1" descr="David Beveridge decision-point companion mark" title="Decision-point mark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ecision-point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" cy="17373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after="0" w:line="20" w:lineRule="exact"/>
      <w:pBdr>
        <w:bottom w:val="single" w:sz="5" w:space="5" w:color="0A0A0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81">
    <w:multiLevelType w:val="singleLevel"/>
    <w:lvl w:ilvl="0">
      <w:start w:val="1"/>
      <w:numFmt w:val="bullet"/>
      <w:lvlText w:val="•"/>
      <w:lvlJc w:val="left"/>
      <w:pPr>
        <w:ind w:left="720" w:hanging="360"/>
        <w:tabs>
          <w:tab w:val="num" w:pos="720"/>
        </w:tabs>
      </w:pPr>
      <w:rPr>
        <w:rFonts w:ascii="Arial" w:hAnsi="Arial"/>
      </w:rPr>
    </w:lvl>
  </w:abstractNum>
  <w:num w:numId="81">
    <w:abstractNumId w:val="81"/>
  </w:num>
  <w:abstractNum w:abstractNumId="82">
    <w:multiLevelType w:val="singleLevel"/>
    <w:lvl w:ilvl="0">
      <w:start w:val="1"/>
      <w:numFmt w:val="decimal"/>
      <w:lvlText w:val="%1."/>
      <w:lvlJc w:val="left"/>
      <w:pPr>
        <w:ind w:left="720" w:hanging="360"/>
        <w:tabs>
          <w:tab w:val="num" w:pos="720"/>
        </w:tabs>
      </w:pPr>
    </w:lvl>
  </w:abstractNum>
  <w:num w:numId="82">
    <w:abstractNumId w:val="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Arial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Aria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" w:hAnsi="Arial" w:cs="Arial"/>
      <w:b w:val="0"/>
      <w:i w:val="0"/>
      <w:color w:val="0A0A0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59" w:lineRule="auto"/>
      <w:outlineLvl w:val="0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59" w:lineRule="auto"/>
      <w:outlineLvl w:val="2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0A0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 w:cs="Arial"/>
      <w:b/>
      <w:i w:val="0"/>
      <w:color w:val="0A0A0A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 w:line="259" w:lineRule="auto"/>
    </w:pPr>
    <w:rPr>
      <w:rFonts w:asciiTheme="majorHAnsi" w:eastAsiaTheme="majorEastAsia" w:hAnsiTheme="majorHAnsi" w:cstheme="majorBidi" w:ascii="Arial" w:hAnsi="Arial" w:cs="Arial"/>
      <w:b w:val="0"/>
      <w:i w:val="0"/>
      <w:iCs/>
      <w:color w:val="0A0A0A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0A0A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A0A0A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A0A0A" w:themeColor="accent1"/>
      </w:pBdr>
      <w:spacing w:before="200" w:after="280"/>
      <w:ind w:left="936" w:right="936"/>
    </w:pPr>
    <w:rPr>
      <w:b/>
      <w:bCs/>
      <w:i/>
      <w:iCs/>
      <w:color w:val="0A0A0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A0A0A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A0A0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A0A0A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A0A0A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A0A0A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A0A0A" w:themeColor="accent1" w:themeShade="BF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A0A0A" w:themeColor="accent2" w:themeShade="BF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A0A0A" w:themeColor="accent3" w:themeShade="BF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A0A0A" w:themeColor="accent4" w:themeShade="BF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A0A0A" w:themeColor="accent5" w:themeShade="BF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A0A0A" w:themeColor="accent6" w:themeShade="BF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0A0A0A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1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  <w:shd w:val="clear" w:color="auto" w:fill="0A0A0A" w:themeFill="accent1" w:themeFillTint="3F"/>
      </w:tcPr>
    </w:tblStylePr>
    <w:tblStylePr w:type="band2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1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  <w:shd w:val="clear" w:color="auto" w:fill="0A0A0A" w:themeFill="accent2" w:themeFillTint="3F"/>
      </w:tcPr>
    </w:tblStylePr>
    <w:tblStylePr w:type="band2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1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  <w:shd w:val="clear" w:color="auto" w:fill="0A0A0A" w:themeFill="accent3" w:themeFillTint="3F"/>
      </w:tcPr>
    </w:tblStylePr>
    <w:tblStylePr w:type="band2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1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  <w:shd w:val="clear" w:color="auto" w:fill="0A0A0A" w:themeFill="accent4" w:themeFillTint="3F"/>
      </w:tcPr>
    </w:tblStylePr>
    <w:tblStylePr w:type="band2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1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  <w:shd w:val="clear" w:color="auto" w:fill="0A0A0A" w:themeFill="accent5" w:themeFillTint="3F"/>
      </w:tcPr>
    </w:tblStylePr>
    <w:tblStylePr w:type="band2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1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  <w:shd w:val="clear" w:color="auto" w:fill="0A0A0A" w:themeFill="accent6" w:themeFillTint="3F"/>
      </w:tcPr>
    </w:tblStylePr>
    <w:tblStylePr w:type="band2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2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3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4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5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6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  <w:insideV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  <w:insideV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  <w:insideV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  <w:insideV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  <w:insideV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  <w:insideV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  <w:insideV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3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0A0A0A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3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tcBorders>
          <w:insideH w:val="single" w:sz="6" w:space="0" w:color="0A0A0A" w:themeColor="accent1"/>
          <w:insideV w:val="single" w:sz="6" w:space="0" w:color="0A0A0A" w:themeColor="accent1"/>
        </w:tcBorders>
        <w:shd w:val="clear" w:color="auto" w:fill="0A0A0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3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tcBorders>
          <w:insideH w:val="single" w:sz="6" w:space="0" w:color="0A0A0A" w:themeColor="accent2"/>
          <w:insideV w:val="single" w:sz="6" w:space="0" w:color="0A0A0A" w:themeColor="accent2"/>
        </w:tcBorders>
        <w:shd w:val="clear" w:color="auto" w:fill="0A0A0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3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tcBorders>
          <w:insideH w:val="single" w:sz="6" w:space="0" w:color="0A0A0A" w:themeColor="accent3"/>
          <w:insideV w:val="single" w:sz="6" w:space="0" w:color="0A0A0A" w:themeColor="accent3"/>
        </w:tcBorders>
        <w:shd w:val="clear" w:color="auto" w:fill="0A0A0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3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tcBorders>
          <w:insideH w:val="single" w:sz="6" w:space="0" w:color="0A0A0A" w:themeColor="accent4"/>
          <w:insideV w:val="single" w:sz="6" w:space="0" w:color="0A0A0A" w:themeColor="accent4"/>
        </w:tcBorders>
        <w:shd w:val="clear" w:color="auto" w:fill="0A0A0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3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tcBorders>
          <w:insideH w:val="single" w:sz="6" w:space="0" w:color="0A0A0A" w:themeColor="accent5"/>
          <w:insideV w:val="single" w:sz="6" w:space="0" w:color="0A0A0A" w:themeColor="accent5"/>
        </w:tcBorders>
        <w:shd w:val="clear" w:color="auto" w:fill="0A0A0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3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tcBorders>
          <w:insideH w:val="single" w:sz="6" w:space="0" w:color="0A0A0A" w:themeColor="accent6"/>
          <w:insideV w:val="single" w:sz="6" w:space="0" w:color="0A0A0A" w:themeColor="accent6"/>
        </w:tcBorders>
        <w:shd w:val="clear" w:color="auto" w:fill="0A0A0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66"/>
      </w:tcPr>
    </w:tblStylePr>
    <w:tblStylePr w:type="band1Horz">
      <w:tblPr/>
      <w:tcPr>
        <w:shd w:val="clear" w:color="auto" w:fill="0A0A0A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1"/>
        <w:bottom w:val="single" w:sz="4" w:space="0" w:color="0A0A0A" w:themeColor="accent1"/>
        <w:right w:val="single" w:sz="4" w:space="0" w:color="0A0A0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1" w:themeShade="99"/>
          <w:insideV w:val="nil"/>
        </w:tcBorders>
        <w:shd w:val="clear" w:color="auto" w:fill="0A0A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99"/>
      </w:tcPr>
    </w:tblStylePr>
    <w:tblStylePr w:type="band1Vert">
      <w:tblPr/>
      <w:tcPr>
        <w:shd w:val="clear" w:color="auto" w:fill="0A0A0A" w:themeFill="accent1" w:themeFillTint="66"/>
      </w:tcPr>
    </w:tblStylePr>
    <w:tblStylePr w:type="band1Horz">
      <w:tblPr/>
      <w:tcPr>
        <w:shd w:val="clear" w:color="auto" w:fill="0A0A0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2"/>
        <w:bottom w:val="single" w:sz="4" w:space="0" w:color="0A0A0A" w:themeColor="accent2"/>
        <w:right w:val="single" w:sz="4" w:space="0" w:color="0A0A0A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2" w:themeShade="99"/>
          <w:insideV w:val="nil"/>
        </w:tcBorders>
        <w:shd w:val="clear" w:color="auto" w:fill="0A0A0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99"/>
      </w:tcPr>
    </w:tblStylePr>
    <w:tblStylePr w:type="band1Vert">
      <w:tblPr/>
      <w:tcPr>
        <w:shd w:val="clear" w:color="auto" w:fill="0A0A0A" w:themeFill="accent2" w:themeFillTint="66"/>
      </w:tcPr>
    </w:tblStylePr>
    <w:tblStylePr w:type="band1Horz">
      <w:tblPr/>
      <w:tcPr>
        <w:shd w:val="clear" w:color="auto" w:fill="0A0A0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4"/>
        <w:left w:val="single" w:sz="4" w:space="0" w:color="0A0A0A" w:themeColor="accent3"/>
        <w:bottom w:val="single" w:sz="4" w:space="0" w:color="0A0A0A" w:themeColor="accent3"/>
        <w:right w:val="single" w:sz="4" w:space="0" w:color="0A0A0A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3" w:themeShade="99"/>
          <w:insideV w:val="nil"/>
        </w:tcBorders>
        <w:shd w:val="clear" w:color="auto" w:fill="0A0A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99"/>
      </w:tcPr>
    </w:tblStylePr>
    <w:tblStylePr w:type="band1Vert">
      <w:tblPr/>
      <w:tcPr>
        <w:shd w:val="clear" w:color="auto" w:fill="0A0A0A" w:themeFill="accent3" w:themeFillTint="66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3"/>
        <w:left w:val="single" w:sz="4" w:space="0" w:color="0A0A0A" w:themeColor="accent4"/>
        <w:bottom w:val="single" w:sz="4" w:space="0" w:color="0A0A0A" w:themeColor="accent4"/>
        <w:right w:val="single" w:sz="4" w:space="0" w:color="0A0A0A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4" w:themeShade="99"/>
          <w:insideV w:val="nil"/>
        </w:tcBorders>
        <w:shd w:val="clear" w:color="auto" w:fill="0A0A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99"/>
      </w:tcPr>
    </w:tblStylePr>
    <w:tblStylePr w:type="band1Vert">
      <w:tblPr/>
      <w:tcPr>
        <w:shd w:val="clear" w:color="auto" w:fill="0A0A0A" w:themeFill="accent4" w:themeFillTint="66"/>
      </w:tcPr>
    </w:tblStylePr>
    <w:tblStylePr w:type="band1Horz">
      <w:tblPr/>
      <w:tcPr>
        <w:shd w:val="clear" w:color="auto" w:fill="0A0A0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6"/>
        <w:left w:val="single" w:sz="4" w:space="0" w:color="0A0A0A" w:themeColor="accent5"/>
        <w:bottom w:val="single" w:sz="4" w:space="0" w:color="0A0A0A" w:themeColor="accent5"/>
        <w:right w:val="single" w:sz="4" w:space="0" w:color="0A0A0A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5" w:themeShade="99"/>
          <w:insideV w:val="nil"/>
        </w:tcBorders>
        <w:shd w:val="clear" w:color="auto" w:fill="0A0A0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99"/>
      </w:tcPr>
    </w:tblStylePr>
    <w:tblStylePr w:type="band1Vert">
      <w:tblPr/>
      <w:tcPr>
        <w:shd w:val="clear" w:color="auto" w:fill="0A0A0A" w:themeFill="accent5" w:themeFillTint="66"/>
      </w:tcPr>
    </w:tblStylePr>
    <w:tblStylePr w:type="band1Horz">
      <w:tblPr/>
      <w:tcPr>
        <w:shd w:val="clear" w:color="auto" w:fill="0A0A0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5"/>
        <w:left w:val="single" w:sz="4" w:space="0" w:color="0A0A0A" w:themeColor="accent6"/>
        <w:bottom w:val="single" w:sz="4" w:space="0" w:color="0A0A0A" w:themeColor="accent6"/>
        <w:right w:val="single" w:sz="4" w:space="0" w:color="0A0A0A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6" w:themeShade="99"/>
          <w:insideV w:val="nil"/>
        </w:tcBorders>
        <w:shd w:val="clear" w:color="auto" w:fill="0A0A0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99"/>
      </w:tcPr>
    </w:tblStylePr>
    <w:tblStylePr w:type="band1Vert">
      <w:tblPr/>
      <w:tcPr>
        <w:shd w:val="clear" w:color="auto" w:fill="0A0A0A" w:themeFill="accent6" w:themeFillTint="66"/>
      </w:tcPr>
    </w:tblStylePr>
    <w:tblStylePr w:type="band1Horz">
      <w:tblPr/>
      <w:tcPr>
        <w:shd w:val="clear" w:color="auto" w:fill="0A0A0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4" w:themeFillShade="CC"/>
      </w:tcPr>
    </w:tblStylePr>
    <w:tblStylePr w:type="lastRow">
      <w:rPr>
        <w:b/>
        <w:bCs/>
        <w:color w:val="0A0A0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3" w:themeFillShade="CC"/>
      </w:tcPr>
    </w:tblStylePr>
    <w:tblStylePr w:type="lastRow">
      <w:rPr>
        <w:b/>
        <w:bCs/>
        <w:color w:val="0A0A0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6" w:themeFillShade="CC"/>
      </w:tcPr>
    </w:tblStylePr>
    <w:tblStylePr w:type="lastRow">
      <w:rPr>
        <w:b/>
        <w:bCs/>
        <w:color w:val="0A0A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5" w:themeFillShade="CC"/>
      </w:tcPr>
    </w:tblStylePr>
    <w:tblStylePr w:type="lastRow">
      <w:rPr>
        <w:b/>
        <w:bCs/>
        <w:color w:val="0A0A0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3"/>
    </w:tcPr>
    <w:tblStylePr w:type="firstRow">
      <w:rPr>
        <w:b/>
        <w:bCs/>
      </w:rPr>
      <w:tblPr/>
      <w:tcPr>
        <w:shd w:val="clear" w:color="auto" w:fill="0A0A0A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3"/>
    </w:tcPr>
    <w:tblStylePr w:type="firstRow">
      <w:rPr>
        <w:b/>
        <w:bCs/>
      </w:rPr>
      <w:tblPr/>
      <w:tcPr>
        <w:shd w:val="clear" w:color="auto" w:fill="0A0A0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3"/>
    </w:tcPr>
    <w:tblStylePr w:type="firstRow">
      <w:rPr>
        <w:b/>
        <w:bCs/>
      </w:rPr>
      <w:tblPr/>
      <w:tcPr>
        <w:shd w:val="clear" w:color="auto" w:fill="0A0A0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3"/>
    </w:tcPr>
    <w:tblStylePr w:type="firstRow">
      <w:rPr>
        <w:b/>
        <w:bCs/>
      </w:rPr>
      <w:tblPr/>
      <w:tcPr>
        <w:shd w:val="clear" w:color="auto" w:fill="0A0A0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3"/>
    </w:tcPr>
    <w:tblStylePr w:type="firstRow">
      <w:rPr>
        <w:b/>
        <w:bCs/>
      </w:rPr>
      <w:tblPr/>
      <w:tcPr>
        <w:shd w:val="clear" w:color="auto" w:fill="0A0A0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3"/>
    </w:tcPr>
    <w:tblStylePr w:type="firstRow">
      <w:rPr>
        <w:b/>
        <w:bCs/>
      </w:rPr>
      <w:tblPr/>
      <w:tcPr>
        <w:shd w:val="clear" w:color="auto" w:fill="0A0A0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3"/>
    </w:tcPr>
    <w:tblStylePr w:type="firstRow">
      <w:rPr>
        <w:b/>
        <w:bCs/>
      </w:rPr>
      <w:tblPr/>
      <w:tcPr>
        <w:shd w:val="clear" w:color="auto" w:fill="0A0A0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paragraph" w:customStyle="1" w:styleId="Kicker">
    <w:name w:val="Kicker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SmallMetadata">
    <w:name w:val="Small Metadata"/>
    <w:pPr>
      <w:spacing w:before="0" w:after="80" w:line="259" w:lineRule="auto"/>
    </w:pPr>
    <w:rPr>
      <w:rFonts w:ascii="Arial" w:hAnsi="Arial" w:cs="Arial"/>
      <w:b w:val="0"/>
      <w:i w:val="0"/>
      <w:color w:val="0A0A0A"/>
      <w:sz w:val="17"/>
    </w:rPr>
  </w:style>
  <w:style w:type="paragraph" w:customStyle="1" w:styleId="EvidenceLabel">
    <w:name w:val="Evidence Label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BodySerif">
    <w:name w:val="Body Serif"/>
    <w:pPr>
      <w:spacing w:before="0" w:after="80" w:line="259" w:lineRule="auto"/>
    </w:pPr>
    <w:rPr>
      <w:rFonts w:ascii="Arial" w:hAnsi="Arial" w:cs="Arial"/>
      <w:b w:val="0"/>
      <w:i w:val="0"/>
      <w:color w:val="0A0A0A"/>
      <w:sz w:val="22"/>
    </w:rPr>
  </w:style>
  <w:style w:type="paragraph" w:customStyle="1" w:styleId="BodySans">
    <w:name w:val="Body Sans"/>
    <w:pPr>
      <w:spacing w:before="0" w:after="80" w:line="259" w:lineRule="auto"/>
    </w:pPr>
    <w:rPr>
      <w:rFonts w:ascii="Arial" w:hAnsi="Arial" w:cs="Arial"/>
      <w:b w:val="0"/>
      <w:i w:val="0"/>
      <w:color w:val="0A0A0A"/>
      <w:sz w:val="21"/>
    </w:rPr>
  </w:style>
  <w:style w:type="paragraph" w:customStyle="1" w:styleId="TableHead">
    <w:name w:val="Table Head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TableBody">
    <w:name w:val="Table Body"/>
    <w:pPr>
      <w:spacing w:before="0" w:after="80" w:line="259" w:lineRule="auto"/>
    </w:pPr>
    <w:rPr>
      <w:rFonts w:ascii="Arial" w:hAnsi="Arial" w:cs="Arial"/>
      <w:b w:val="0"/>
      <w:i w:val="0"/>
      <w:color w:val="0A0A0A"/>
      <w:sz w:val="19"/>
    </w:rPr>
  </w:style>
  <w:style w:type="paragraph" w:customStyle="1" w:styleId="CalloutLabel">
    <w:name w:val="Callout Label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CalloutBody">
    <w:name w:val="Callout Body"/>
    <w:pPr>
      <w:spacing w:before="0" w:after="80" w:line="259" w:lineRule="auto"/>
    </w:pPr>
    <w:rPr>
      <w:rFonts w:ascii="Arial" w:hAnsi="Arial" w:cs="Arial"/>
      <w:b w:val="0"/>
      <w:i w:val="0"/>
      <w:color w:val="0A0A0A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0A0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A0A0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0A0A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A0A0A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A0A0A" w:themeColor="accent1"/>
      </w:pBdr>
      <w:spacing w:before="200" w:after="280"/>
      <w:ind w:left="936" w:right="936"/>
    </w:pPr>
    <w:rPr>
      <w:b/>
      <w:bCs/>
      <w:i/>
      <w:iCs/>
      <w:color w:val="0A0A0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A0A0A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A0A0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A0A0A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A0A0A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A0A0A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A0A0A" w:themeColor="accent1" w:themeShade="BF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A0A0A" w:themeColor="accent2" w:themeShade="BF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A0A0A" w:themeColor="accent3" w:themeShade="BF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A0A0A" w:themeColor="accent4" w:themeShade="BF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A0A0A" w:themeColor="accent5" w:themeShade="BF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A0A0A" w:themeColor="accent6" w:themeShade="BF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0A0A0A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1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  <w:shd w:val="clear" w:color="auto" w:fill="0A0A0A" w:themeFill="accent1" w:themeFillTint="3F"/>
      </w:tcPr>
    </w:tblStylePr>
    <w:tblStylePr w:type="band2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1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  <w:shd w:val="clear" w:color="auto" w:fill="0A0A0A" w:themeFill="accent2" w:themeFillTint="3F"/>
      </w:tcPr>
    </w:tblStylePr>
    <w:tblStylePr w:type="band2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1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  <w:shd w:val="clear" w:color="auto" w:fill="0A0A0A" w:themeFill="accent3" w:themeFillTint="3F"/>
      </w:tcPr>
    </w:tblStylePr>
    <w:tblStylePr w:type="band2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1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  <w:shd w:val="clear" w:color="auto" w:fill="0A0A0A" w:themeFill="accent4" w:themeFillTint="3F"/>
      </w:tcPr>
    </w:tblStylePr>
    <w:tblStylePr w:type="band2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1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  <w:shd w:val="clear" w:color="auto" w:fill="0A0A0A" w:themeFill="accent5" w:themeFillTint="3F"/>
      </w:tcPr>
    </w:tblStylePr>
    <w:tblStylePr w:type="band2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1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  <w:shd w:val="clear" w:color="auto" w:fill="0A0A0A" w:themeFill="accent6" w:themeFillTint="3F"/>
      </w:tcPr>
    </w:tblStylePr>
    <w:tblStylePr w:type="band2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2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3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4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5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6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  <w:insideV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  <w:insideV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  <w:insideV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  <w:insideV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  <w:insideV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  <w:insideV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  <w:insideV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3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0A0A0A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3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tcBorders>
          <w:insideH w:val="single" w:sz="6" w:space="0" w:color="0A0A0A" w:themeColor="accent1"/>
          <w:insideV w:val="single" w:sz="6" w:space="0" w:color="0A0A0A" w:themeColor="accent1"/>
        </w:tcBorders>
        <w:shd w:val="clear" w:color="auto" w:fill="0A0A0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3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tcBorders>
          <w:insideH w:val="single" w:sz="6" w:space="0" w:color="0A0A0A" w:themeColor="accent2"/>
          <w:insideV w:val="single" w:sz="6" w:space="0" w:color="0A0A0A" w:themeColor="accent2"/>
        </w:tcBorders>
        <w:shd w:val="clear" w:color="auto" w:fill="0A0A0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3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tcBorders>
          <w:insideH w:val="single" w:sz="6" w:space="0" w:color="0A0A0A" w:themeColor="accent3"/>
          <w:insideV w:val="single" w:sz="6" w:space="0" w:color="0A0A0A" w:themeColor="accent3"/>
        </w:tcBorders>
        <w:shd w:val="clear" w:color="auto" w:fill="0A0A0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3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tcBorders>
          <w:insideH w:val="single" w:sz="6" w:space="0" w:color="0A0A0A" w:themeColor="accent4"/>
          <w:insideV w:val="single" w:sz="6" w:space="0" w:color="0A0A0A" w:themeColor="accent4"/>
        </w:tcBorders>
        <w:shd w:val="clear" w:color="auto" w:fill="0A0A0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3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tcBorders>
          <w:insideH w:val="single" w:sz="6" w:space="0" w:color="0A0A0A" w:themeColor="accent5"/>
          <w:insideV w:val="single" w:sz="6" w:space="0" w:color="0A0A0A" w:themeColor="accent5"/>
        </w:tcBorders>
        <w:shd w:val="clear" w:color="auto" w:fill="0A0A0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3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tcBorders>
          <w:insideH w:val="single" w:sz="6" w:space="0" w:color="0A0A0A" w:themeColor="accent6"/>
          <w:insideV w:val="single" w:sz="6" w:space="0" w:color="0A0A0A" w:themeColor="accent6"/>
        </w:tcBorders>
        <w:shd w:val="clear" w:color="auto" w:fill="0A0A0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66"/>
      </w:tcPr>
    </w:tblStylePr>
    <w:tblStylePr w:type="band1Horz">
      <w:tblPr/>
      <w:tcPr>
        <w:shd w:val="clear" w:color="auto" w:fill="0A0A0A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1"/>
        <w:bottom w:val="single" w:sz="4" w:space="0" w:color="0A0A0A" w:themeColor="accent1"/>
        <w:right w:val="single" w:sz="4" w:space="0" w:color="0A0A0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1" w:themeShade="99"/>
          <w:insideV w:val="nil"/>
        </w:tcBorders>
        <w:shd w:val="clear" w:color="auto" w:fill="0A0A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99"/>
      </w:tcPr>
    </w:tblStylePr>
    <w:tblStylePr w:type="band1Vert">
      <w:tblPr/>
      <w:tcPr>
        <w:shd w:val="clear" w:color="auto" w:fill="0A0A0A" w:themeFill="accent1" w:themeFillTint="66"/>
      </w:tcPr>
    </w:tblStylePr>
    <w:tblStylePr w:type="band1Horz">
      <w:tblPr/>
      <w:tcPr>
        <w:shd w:val="clear" w:color="auto" w:fill="0A0A0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2"/>
        <w:bottom w:val="single" w:sz="4" w:space="0" w:color="0A0A0A" w:themeColor="accent2"/>
        <w:right w:val="single" w:sz="4" w:space="0" w:color="0A0A0A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2" w:themeShade="99"/>
          <w:insideV w:val="nil"/>
        </w:tcBorders>
        <w:shd w:val="clear" w:color="auto" w:fill="0A0A0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99"/>
      </w:tcPr>
    </w:tblStylePr>
    <w:tblStylePr w:type="band1Vert">
      <w:tblPr/>
      <w:tcPr>
        <w:shd w:val="clear" w:color="auto" w:fill="0A0A0A" w:themeFill="accent2" w:themeFillTint="66"/>
      </w:tcPr>
    </w:tblStylePr>
    <w:tblStylePr w:type="band1Horz">
      <w:tblPr/>
      <w:tcPr>
        <w:shd w:val="clear" w:color="auto" w:fill="0A0A0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4"/>
        <w:left w:val="single" w:sz="4" w:space="0" w:color="0A0A0A" w:themeColor="accent3"/>
        <w:bottom w:val="single" w:sz="4" w:space="0" w:color="0A0A0A" w:themeColor="accent3"/>
        <w:right w:val="single" w:sz="4" w:space="0" w:color="0A0A0A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3" w:themeShade="99"/>
          <w:insideV w:val="nil"/>
        </w:tcBorders>
        <w:shd w:val="clear" w:color="auto" w:fill="0A0A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99"/>
      </w:tcPr>
    </w:tblStylePr>
    <w:tblStylePr w:type="band1Vert">
      <w:tblPr/>
      <w:tcPr>
        <w:shd w:val="clear" w:color="auto" w:fill="0A0A0A" w:themeFill="accent3" w:themeFillTint="66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3"/>
        <w:left w:val="single" w:sz="4" w:space="0" w:color="0A0A0A" w:themeColor="accent4"/>
        <w:bottom w:val="single" w:sz="4" w:space="0" w:color="0A0A0A" w:themeColor="accent4"/>
        <w:right w:val="single" w:sz="4" w:space="0" w:color="0A0A0A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4" w:themeShade="99"/>
          <w:insideV w:val="nil"/>
        </w:tcBorders>
        <w:shd w:val="clear" w:color="auto" w:fill="0A0A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99"/>
      </w:tcPr>
    </w:tblStylePr>
    <w:tblStylePr w:type="band1Vert">
      <w:tblPr/>
      <w:tcPr>
        <w:shd w:val="clear" w:color="auto" w:fill="0A0A0A" w:themeFill="accent4" w:themeFillTint="66"/>
      </w:tcPr>
    </w:tblStylePr>
    <w:tblStylePr w:type="band1Horz">
      <w:tblPr/>
      <w:tcPr>
        <w:shd w:val="clear" w:color="auto" w:fill="0A0A0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6"/>
        <w:left w:val="single" w:sz="4" w:space="0" w:color="0A0A0A" w:themeColor="accent5"/>
        <w:bottom w:val="single" w:sz="4" w:space="0" w:color="0A0A0A" w:themeColor="accent5"/>
        <w:right w:val="single" w:sz="4" w:space="0" w:color="0A0A0A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5" w:themeShade="99"/>
          <w:insideV w:val="nil"/>
        </w:tcBorders>
        <w:shd w:val="clear" w:color="auto" w:fill="0A0A0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99"/>
      </w:tcPr>
    </w:tblStylePr>
    <w:tblStylePr w:type="band1Vert">
      <w:tblPr/>
      <w:tcPr>
        <w:shd w:val="clear" w:color="auto" w:fill="0A0A0A" w:themeFill="accent5" w:themeFillTint="66"/>
      </w:tcPr>
    </w:tblStylePr>
    <w:tblStylePr w:type="band1Horz">
      <w:tblPr/>
      <w:tcPr>
        <w:shd w:val="clear" w:color="auto" w:fill="0A0A0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5"/>
        <w:left w:val="single" w:sz="4" w:space="0" w:color="0A0A0A" w:themeColor="accent6"/>
        <w:bottom w:val="single" w:sz="4" w:space="0" w:color="0A0A0A" w:themeColor="accent6"/>
        <w:right w:val="single" w:sz="4" w:space="0" w:color="0A0A0A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6" w:themeShade="99"/>
          <w:insideV w:val="nil"/>
        </w:tcBorders>
        <w:shd w:val="clear" w:color="auto" w:fill="0A0A0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99"/>
      </w:tcPr>
    </w:tblStylePr>
    <w:tblStylePr w:type="band1Vert">
      <w:tblPr/>
      <w:tcPr>
        <w:shd w:val="clear" w:color="auto" w:fill="0A0A0A" w:themeFill="accent6" w:themeFillTint="66"/>
      </w:tcPr>
    </w:tblStylePr>
    <w:tblStylePr w:type="band1Horz">
      <w:tblPr/>
      <w:tcPr>
        <w:shd w:val="clear" w:color="auto" w:fill="0A0A0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4" w:themeFillShade="CC"/>
      </w:tcPr>
    </w:tblStylePr>
    <w:tblStylePr w:type="lastRow">
      <w:rPr>
        <w:b/>
        <w:bCs/>
        <w:color w:val="0A0A0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3" w:themeFillShade="CC"/>
      </w:tcPr>
    </w:tblStylePr>
    <w:tblStylePr w:type="lastRow">
      <w:rPr>
        <w:b/>
        <w:bCs/>
        <w:color w:val="0A0A0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6" w:themeFillShade="CC"/>
      </w:tcPr>
    </w:tblStylePr>
    <w:tblStylePr w:type="lastRow">
      <w:rPr>
        <w:b/>
        <w:bCs/>
        <w:color w:val="0A0A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5" w:themeFillShade="CC"/>
      </w:tcPr>
    </w:tblStylePr>
    <w:tblStylePr w:type="lastRow">
      <w:rPr>
        <w:b/>
        <w:bCs/>
        <w:color w:val="0A0A0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3"/>
    </w:tcPr>
    <w:tblStylePr w:type="firstRow">
      <w:rPr>
        <w:b/>
        <w:bCs/>
      </w:rPr>
      <w:tblPr/>
      <w:tcPr>
        <w:shd w:val="clear" w:color="auto" w:fill="0A0A0A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3"/>
    </w:tcPr>
    <w:tblStylePr w:type="firstRow">
      <w:rPr>
        <w:b/>
        <w:bCs/>
      </w:rPr>
      <w:tblPr/>
      <w:tcPr>
        <w:shd w:val="clear" w:color="auto" w:fill="0A0A0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3"/>
    </w:tcPr>
    <w:tblStylePr w:type="firstRow">
      <w:rPr>
        <w:b/>
        <w:bCs/>
      </w:rPr>
      <w:tblPr/>
      <w:tcPr>
        <w:shd w:val="clear" w:color="auto" w:fill="0A0A0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3"/>
    </w:tcPr>
    <w:tblStylePr w:type="firstRow">
      <w:rPr>
        <w:b/>
        <w:bCs/>
      </w:rPr>
      <w:tblPr/>
      <w:tcPr>
        <w:shd w:val="clear" w:color="auto" w:fill="0A0A0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3"/>
    </w:tcPr>
    <w:tblStylePr w:type="firstRow">
      <w:rPr>
        <w:b/>
        <w:bCs/>
      </w:rPr>
      <w:tblPr/>
      <w:tcPr>
        <w:shd w:val="clear" w:color="auto" w:fill="0A0A0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3"/>
    </w:tcPr>
    <w:tblStylePr w:type="firstRow">
      <w:rPr>
        <w:b/>
        <w:bCs/>
      </w:rPr>
      <w:tblPr/>
      <w:tcPr>
        <w:shd w:val="clear" w:color="auto" w:fill="0A0A0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3"/>
    </w:tcPr>
    <w:tblStylePr w:type="firstRow">
      <w:rPr>
        <w:b/>
        <w:bCs/>
      </w:rPr>
      <w:tblPr/>
      <w:tcPr>
        <w:shd w:val="clear" w:color="auto" w:fill="0A0A0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A0A0A"/>
      </a:dk2>
      <a:lt2>
        <a:srgbClr val="0A0A0A"/>
      </a:lt2>
      <a:accent1>
        <a:srgbClr val="0A0A0A"/>
      </a:accent1>
      <a:accent2>
        <a:srgbClr val="0A0A0A"/>
      </a:accent2>
      <a:accent3>
        <a:srgbClr val="0A0A0A"/>
      </a:accent3>
      <a:accent4>
        <a:srgbClr val="0A0A0A"/>
      </a:accent4>
      <a:accent5>
        <a:srgbClr val="0A0A0A"/>
      </a:accent5>
      <a:accent6>
        <a:srgbClr val="0A0A0A"/>
      </a:accent6>
      <a:hlink>
        <a:srgbClr val="0A0A0A"/>
      </a:hlink>
      <a:folHlink>
        <a:srgbClr val="0A0A0A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0A0A0A"/>
              </a:schemeClr>
            </a:gs>
            <a:gs pos="35000">
              <a:schemeClr val="phClr">
                <a:tint val="37000"/>
                <a:satMod val="0A0A0A"/>
              </a:schemeClr>
            </a:gs>
            <a:gs pos="100000">
              <a:schemeClr val="phClr">
                <a:tint val="15000"/>
                <a:satMod val="0A0A0A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0A0A0A"/>
                <a:shade val="0A0A0A"/>
                <a:satMod val="0A0A0A"/>
              </a:schemeClr>
            </a:gs>
            <a:gs pos="100000">
              <a:schemeClr val="phClr">
                <a:tint val="50000"/>
                <a:shade val="0A0A0A"/>
                <a:satMod val="0A0A0A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0A0A0A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0A0A0A"/>
              </a:schemeClr>
            </a:gs>
            <a:gs pos="40000">
              <a:schemeClr val="phClr">
                <a:tint val="45000"/>
                <a:shade val="99000"/>
                <a:satMod val="0A0A0A"/>
              </a:schemeClr>
            </a:gs>
            <a:gs pos="100000">
              <a:schemeClr val="phClr">
                <a:shade val="20000"/>
                <a:satMod val="0A0A0A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0A0A0A"/>
              </a:schemeClr>
            </a:gs>
            <a:gs pos="100000">
              <a:schemeClr val="phClr">
                <a:shade val="30000"/>
                <a:satMod val="0A0A0A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Decision Ledger</dc:title>
  <dc:subject>Editable product-engineering operating-system working resource</dc:subject>
  <dc:creator>David Beveridge</dc:creator>
  <cp:keywords/>
  <dc:description>Client-neutral public worksheet. Follow the stated boundary and local policies.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