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</w:pPr>
      <w:r>
        <w:rPr>
          <w:rFonts w:ascii="Arial" w:hAnsi="Arial" w:cs="Arial" w:eastAsia="Arial"/>
          <w:b/>
          <w:i w:val="0"/>
          <w:color w:val="FF3B1F"/>
          <w:sz w:val="17"/>
        </w:rPr>
        <w:t>FIELD GUIDE RESOURCE  /  EDITABLE WORKSHEET</w:t>
      </w:r>
    </w:p>
    <w:p>
      <w:pPr>
        <w:pStyle w:val="Title"/>
        <w:spacing w:after="120"/>
      </w:pPr>
      <w:r>
        <w:rPr>
          <w:rFonts w:ascii="Arial" w:hAnsi="Arial" w:cs="Arial" w:eastAsia="Arial"/>
          <w:b/>
          <w:i w:val="0"/>
          <w:color w:val="0A0A0A"/>
          <w:sz w:val="54"/>
        </w:rPr>
        <w:t>Flow Review Worksheet</w:t>
      </w:r>
    </w:p>
    <w:p>
      <w:pPr>
        <w:spacing w:after="240"/>
        <w:pBdr>
          <w:bottom w:val="single" w:sz="12" w:space="1" w:color="FF3B1F"/>
        </w:pBdr>
      </w:pP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this worksheet to make a team-level delivery bottleneck visible and run one bounded system experiment. It is not a productivity scorecard and must not be used to rank individuals, decide compensation, monitor activity, or compare teams doing materially different work.</w:t>
      </w:r>
    </w:p>
    <w:p>
      <w:pPr>
        <w:spacing w:after="200" w:line="274" w:lineRule="auto"/>
      </w:pPr>
      <w:r>
        <w:rPr>
          <w:rFonts w:ascii="Arial" w:hAnsi="Arial" w:cs="Arial" w:eastAsia="Arial"/>
          <w:b w:val="0"/>
          <w:i w:val="0"/>
          <w:color w:val="0A0A0A"/>
          <w:sz w:val="22"/>
        </w:rPr>
        <w:t>Use the team’s existing board, tracker, and retrospective practice. Keep those systems authoritative; this worksheet records the review conversation and next intervention.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01</w:t>
      </w:r>
      <w:r>
        <w:rPr>
          <w:rFonts w:ascii="Arial" w:hAnsi="Arial" w:cs="Arial" w:eastAsia="Arial"/>
          <w:b/>
          <w:i w:val="0"/>
          <w:color w:val="0A0A0A"/>
          <w:sz w:val="31"/>
        </w:rPr>
        <w:t>FRAME THE REVIEW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1873"/>
        <w:gridCol w:w="2095"/>
      </w:tblGrid>
      <w:tr>
        <w:trPr>
          <w:cantSplit w:val="true"/>
          <w:tblHeader w:val="true"/>
        </w:trPr>
        <w:tc>
          <w:tcPr>
            <w:tcW w:type="dxa" w:w="1187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209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118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Team and initiative</w:t>
            </w:r>
          </w:p>
        </w:tc>
        <w:tc>
          <w:tcPr>
            <w:tcW w:type="dxa" w:w="20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8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Review period</w:t>
            </w:r>
          </w:p>
        </w:tc>
        <w:tc>
          <w:tcPr>
            <w:tcW w:type="dxa" w:w="20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8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Accountable review owner</w:t>
            </w:r>
          </w:p>
        </w:tc>
        <w:tc>
          <w:tcPr>
            <w:tcW w:type="dxa" w:w="20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8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Customer, business, or delivery commitment affected</w:t>
            </w:r>
          </w:p>
        </w:tc>
        <w:tc>
          <w:tcPr>
            <w:tcW w:type="dxa" w:w="20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8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decision should this review make easier?</w:t>
            </w:r>
          </w:p>
        </w:tc>
        <w:tc>
          <w:tcPr>
            <w:tcW w:type="dxa" w:w="20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02</w:t>
      </w:r>
      <w:r>
        <w:rPr>
          <w:rFonts w:ascii="Arial" w:hAnsi="Arial" w:cs="Arial" w:eastAsia="Arial"/>
          <w:b/>
          <w:i w:val="0"/>
          <w:color w:val="0A0A0A"/>
          <w:sz w:val="31"/>
        </w:rPr>
        <w:t>OBSERVE FOUR LOCAL SIGNALS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2511"/>
        <w:gridCol w:w="5494"/>
        <w:gridCol w:w="1726"/>
        <w:gridCol w:w="4237"/>
      </w:tblGrid>
      <w:tr>
        <w:trPr>
          <w:cantSplit w:val="true"/>
          <w:tblHeader w:val="true"/>
        </w:trPr>
        <w:tc>
          <w:tcPr>
            <w:tcW w:type="dxa" w:w="2511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SIGNAL</w:t>
            </w:r>
          </w:p>
        </w:tc>
        <w:tc>
          <w:tcPr>
            <w:tcW w:type="dxa" w:w="5494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IT SHOWS</w:t>
            </w:r>
          </w:p>
        </w:tc>
        <w:tc>
          <w:tcPr>
            <w:tcW w:type="dxa" w:w="1726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OBSERVATION</w:t>
            </w:r>
          </w:p>
        </w:tc>
        <w:tc>
          <w:tcPr>
            <w:tcW w:type="dxa" w:w="423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TEAM CONTEXT OR EXPLANATION</w:t>
            </w:r>
          </w:p>
        </w:tc>
      </w:tr>
      <w:tr>
        <w:trPr>
          <w:cantSplit w:val="true"/>
        </w:trPr>
        <w:tc>
          <w:tcPr>
            <w:tcW w:type="dxa" w:w="25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Throughput</w:t>
            </w:r>
          </w:p>
        </w:tc>
        <w:tc>
          <w:tcPr>
            <w:tcW w:type="dxa" w:w="549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Work completed in the period</w:t>
            </w:r>
          </w:p>
        </w:tc>
        <w:tc>
          <w:tcPr>
            <w:tcW w:type="dxa" w:w="172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2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25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Cycle time</w:t>
            </w:r>
          </w:p>
        </w:tc>
        <w:tc>
          <w:tcPr>
            <w:tcW w:type="dxa" w:w="549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Time from active work to completion</w:t>
            </w:r>
          </w:p>
        </w:tc>
        <w:tc>
          <w:tcPr>
            <w:tcW w:type="dxa" w:w="172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2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25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Work in progress</w:t>
            </w:r>
          </w:p>
        </w:tc>
        <w:tc>
          <w:tcPr>
            <w:tcW w:type="dxa" w:w="549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Started but unfinished work</w:t>
            </w:r>
          </w:p>
        </w:tc>
        <w:tc>
          <w:tcPr>
            <w:tcW w:type="dxa" w:w="172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2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2511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Age of work</w:t>
            </w:r>
          </w:p>
        </w:tc>
        <w:tc>
          <w:tcPr>
            <w:tcW w:type="dxa" w:w="5494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Oldest active items</w:t>
            </w:r>
          </w:p>
        </w:tc>
        <w:tc>
          <w:tcPr>
            <w:tcW w:type="dxa" w:w="1726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2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Do not interpret a number as a verdict on an individual person. Ask where work waits, returns for clarification, expands, or depends on another team or decision.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03</w:t>
      </w:r>
      <w:r>
        <w:rPr>
          <w:rFonts w:ascii="Arial" w:hAnsi="Arial" w:cs="Arial" w:eastAsia="Arial"/>
          <w:b/>
          <w:i w:val="0"/>
          <w:color w:val="0A0A0A"/>
          <w:sz w:val="31"/>
        </w:rPr>
        <w:t>SELECT ONE SYSTEM CONDITION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1973"/>
        <w:gridCol w:w="1995"/>
      </w:tblGrid>
      <w:tr>
        <w:trPr>
          <w:cantSplit w:val="true"/>
          <w:tblHeader w:val="true"/>
        </w:trPr>
        <w:tc>
          <w:tcPr>
            <w:tcW w:type="dxa" w:w="1197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PROMPT</w:t>
            </w:r>
          </w:p>
        </w:tc>
        <w:tc>
          <w:tcPr>
            <w:tcW w:type="dxa" w:w="199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RECORD</w:t>
            </w: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Where is work waiting or aging?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evidence supports that explanation?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could make this explanation wrong?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is the smallest reversible system change to test?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  <w:tr>
        <w:trPr>
          <w:cantSplit w:val="true"/>
        </w:trPr>
        <w:tc>
          <w:tcPr>
            <w:tcW w:type="dxa" w:w="1197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What work, dependency, or decision might block the change?</w:t>
            </w:r>
          </w:p>
        </w:tc>
        <w:tc>
          <w:tcPr>
            <w:tcW w:type="dxa" w:w="199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spacing w:after="140" w:line="264" w:lineRule="auto"/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Examples: narrow work in progress; move acceptance discussion earlier; add coverage to a recurring review bottleneck; name a decision owner; surface a dependency before work starts.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04</w:t>
      </w:r>
      <w:r>
        <w:rPr>
          <w:rFonts w:ascii="Arial" w:hAnsi="Arial" w:cs="Arial" w:eastAsia="Arial"/>
          <w:b/>
          <w:i w:val="0"/>
          <w:color w:val="0A0A0A"/>
          <w:sz w:val="31"/>
        </w:rPr>
        <w:t>RUN ONE BOUNDED EXPERIMENT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592"/>
        <w:gridCol w:w="1102"/>
        <w:gridCol w:w="1225"/>
        <w:gridCol w:w="1347"/>
        <w:gridCol w:w="4165"/>
        <w:gridCol w:w="4537"/>
      </w:tblGrid>
      <w:tr>
        <w:trPr>
          <w:cantSplit w:val="true"/>
          <w:tblHeader w:val="true"/>
        </w:trPr>
        <w:tc>
          <w:tcPr>
            <w:tcW w:type="dxa" w:w="159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SYSTEM CHANGE</w:t>
            </w:r>
          </w:p>
        </w:tc>
        <w:tc>
          <w:tcPr>
            <w:tcW w:type="dxa" w:w="110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OWNER</w:t>
            </w:r>
          </w:p>
        </w:tc>
        <w:tc>
          <w:tcPr>
            <w:tcW w:type="dxa" w:w="122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START DATE</w:t>
            </w:r>
          </w:p>
        </w:tc>
        <w:tc>
          <w:tcPr>
            <w:tcW w:type="dxa" w:w="134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REVIEW DATE</w:t>
            </w:r>
          </w:p>
        </w:tc>
        <w:tc>
          <w:tcPr>
            <w:tcW w:type="dxa" w:w="4165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WOULD COUNT AS USEFUL SIGNAL?</w:t>
            </w:r>
          </w:p>
        </w:tc>
        <w:tc>
          <w:tcPr>
            <w:tcW w:type="dxa" w:w="4537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WHAT WOULD MAKE US STOP OR CHANGE IT?</w:t>
            </w:r>
          </w:p>
        </w:tc>
      </w:tr>
      <w:tr>
        <w:trPr>
          <w:cantSplit w:val="true"/>
        </w:trPr>
        <w:tc>
          <w:tcPr>
            <w:tcW w:type="dxa" w:w="159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1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22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134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165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4537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05</w:t>
      </w:r>
      <w:r>
        <w:rPr>
          <w:rFonts w:ascii="Arial" w:hAnsi="Arial" w:cs="Arial" w:eastAsia="Arial"/>
          <w:b/>
          <w:i w:val="0"/>
          <w:color w:val="0A0A0A"/>
          <w:sz w:val="31"/>
        </w:rPr>
        <w:t>SHARE THE IMPLICATION, NOT A DASHBOARD DUMP</w:t>
      </w:r>
    </w:p>
    <w:tbl>
      <w:tblPr>
        <w:tblW w:type="dxa" w:w="1396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13728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13728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WORKING PROMPT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Work is waiting most often at [named point].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The team is testing [specific intervention].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affects [forecast, risk, or customer commitment] in this way.</w:t>
            </w:r>
            <w:r>
              <w:br/>
            </w:r>
            <w:r>
              <w:br/>
            </w: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We will review the effect on [date or decision point].</w:t>
            </w:r>
          </w:p>
        </w:tc>
      </w:tr>
    </w:tbl>
    <w:p>
      <w:pPr>
        <w:spacing w:after="60"/>
      </w:pP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06</w:t>
      </w:r>
      <w:r>
        <w:rPr>
          <w:rFonts w:ascii="Arial" w:hAnsi="Arial" w:cs="Arial" w:eastAsia="Arial"/>
          <w:b/>
          <w:i w:val="0"/>
          <w:color w:val="0A0A0A"/>
          <w:sz w:val="31"/>
        </w:rPr>
        <w:t>KEEP, CHANGE, OR RETIRE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changed in the system and team experience?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Did the experiment improve the condition it was meant to address?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What next constraint became visible?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Should the team keep, adapt, or retire the intervention?</w:t>
      </w:r>
    </w:p>
    <w:p>
      <w:pPr>
        <w:spacing w:after="70" w:line="259" w:lineRule="auto"/>
        <w:numPr>
          <w:ilvl w:val="0"/>
          <w:numId w:val="82"/>
        </w:numPr>
      </w:pPr>
      <w:r>
        <w:rPr>
          <w:rFonts w:ascii="Arial" w:hAnsi="Arial" w:cs="Arial" w:eastAsia="Arial"/>
          <w:b w:val="0"/>
          <w:i w:val="0"/>
          <w:color w:val="0A0A0A"/>
          <w:sz w:val="20"/>
        </w:rPr>
        <w:t>Has the review changed a real prioritization, staffing, ownership, workflow, or risk decision? If not, simplify or remove the reporting.</w:t>
      </w:r>
    </w:p>
    <w:p>
      <w:pPr>
        <w:keepNext/>
        <w:spacing w:before="300" w:after="100"/>
      </w:pPr>
      <w:r>
        <w:rPr>
          <w:rFonts w:ascii="Arial" w:hAnsi="Arial" w:cs="Arial" w:eastAsia="Arial"/>
          <w:b/>
          <w:i w:val="0"/>
          <w:color w:val="FF3B1F"/>
          <w:sz w:val="18"/>
        </w:rPr>
        <w:t>07</w:t>
      </w:r>
      <w:r>
        <w:rPr>
          <w:rFonts w:ascii="Arial" w:hAnsi="Arial" w:cs="Arial" w:eastAsia="Arial"/>
          <w:b/>
          <w:i w:val="0"/>
          <w:color w:val="0A0A0A"/>
          <w:sz w:val="31"/>
        </w:rPr>
        <w:t>MAKE THE NEXT MOVE VISIBLE</w:t>
      </w:r>
    </w:p>
    <w:tbl>
      <w:tblPr>
        <w:tblW w:type="dxa" w:w="13968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3993"/>
        <w:gridCol w:w="3990"/>
        <w:gridCol w:w="3083"/>
        <w:gridCol w:w="2902"/>
      </w:tblGrid>
      <w:tr>
        <w:trPr>
          <w:cantSplit w:val="true"/>
          <w:tblHeader w:val="true"/>
        </w:trPr>
        <w:tc>
          <w:tcPr>
            <w:tcW w:type="dxa" w:w="399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DECISION</w:t>
            </w:r>
          </w:p>
        </w:tc>
        <w:tc>
          <w:tcPr>
            <w:tcW w:type="dxa" w:w="3990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EVIDENCE AND TRADE-OFF</w:t>
            </w:r>
          </w:p>
        </w:tc>
        <w:tc>
          <w:tcPr>
            <w:tcW w:type="dxa" w:w="3083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ACCOUNTABLE OWNER</w:t>
            </w:r>
          </w:p>
        </w:tc>
        <w:tc>
          <w:tcPr>
            <w:tcW w:type="dxa" w:w="2902"/>
            <w:tcMar>
              <w:top w:w="90" w:type="dxa"/>
              <w:bottom w:w="90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single" w:sz="10" w:space="0" w:color="FF3B1F"/>
              <w:right w:val="nil"/>
            </w:tcBorders>
          </w:tcPr>
          <w:p>
            <w:pPr>
              <w:spacing w:after="60" w:line="240" w:lineRule="auto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NEXT REVIEW DATE</w:t>
            </w:r>
          </w:p>
        </w:tc>
      </w:tr>
      <w:tr>
        <w:trPr>
          <w:cantSplit w:val="true"/>
        </w:trPr>
        <w:tc>
          <w:tcPr>
            <w:tcW w:type="dxa" w:w="399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18"/>
              </w:rPr>
              <w:t>Keep / change / retire</w:t>
            </w:r>
          </w:p>
        </w:tc>
        <w:tc>
          <w:tcPr>
            <w:tcW w:type="dxa" w:w="3990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3083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  <w:tc>
          <w:tcPr>
            <w:tcW w:type="dxa" w:w="2902"/>
            <w:vAlign w:val="center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40" w:line="250" w:lineRule="auto"/>
            </w:pPr>
          </w:p>
        </w:tc>
      </w:tr>
    </w:tbl>
    <w:p>
      <w:pPr>
        <w:spacing w:after="60"/>
      </w:pPr>
    </w:p>
    <w:tbl>
      <w:tblPr>
        <w:tblW w:type="dxa" w:w="1396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40"/>
        <w:gridCol w:w="13728"/>
      </w:tblGrid>
      <w:tr>
        <w:trPr>
          <w:cantSplit w:val="true"/>
        </w:trPr>
        <w:tc>
          <w:tcPr>
            <w:tcW w:type="dxa" w:w="240"/>
            <w:tcMar>
              <w:top w:w="96" w:type="dxa"/>
              <w:bottom w:w="96" w:type="dxa"/>
              <w:start w:w="0" w:type="dxa"/>
              <w:end w:w="0" w:type="dxa"/>
            </w:tcMar>
            <w:vAlign w:val="center"/>
            <w:tcBorders>
              <w:top w:val="nil"/>
              <w:left w:val="single" w:sz="18" w:space="0" w:color="FF3B1F"/>
              <w:bottom w:val="nil"/>
              <w:right w:val="nil"/>
            </w:tcBorders>
          </w:tcPr>
          <w:p/>
        </w:tc>
        <w:tc>
          <w:tcPr>
            <w:tcW w:type="dxa" w:w="13728"/>
            <w:tcMar>
              <w:top w:w="96" w:type="dxa"/>
              <w:bottom w:w="96" w:type="dxa"/>
              <w:start w:w="120" w:type="dxa"/>
              <w:end w:w="120" w:type="dxa"/>
            </w:tcMar>
            <w:vAlign w:val="center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60"/>
            </w:pPr>
            <w:r>
              <w:rPr>
                <w:rFonts w:ascii="Arial" w:hAnsi="Arial" w:cs="Arial" w:eastAsia="Arial"/>
                <w:b/>
                <w:i w:val="0"/>
                <w:color w:val="FF3B1F"/>
                <w:sz w:val="16"/>
              </w:rPr>
              <w:t>BOUNDARY</w:t>
            </w:r>
          </w:p>
          <w:p>
            <w:pPr>
              <w:spacing w:after="20" w:line="259" w:lineRule="auto"/>
            </w:pPr>
            <w:r>
              <w:rPr>
                <w:rFonts w:ascii="Arial" w:hAnsi="Arial" w:cs="Arial" w:eastAsia="Arial"/>
                <w:b w:val="0"/>
                <w:i w:val="0"/>
                <w:color w:val="0A0A0A"/>
                <w:sz w:val="20"/>
              </w:rPr>
              <w:t>This is a client-neutral team operating template. It is not an employee monitoring system, performance-management tool, labor-law analysis, or replacement for HR, privacy, security, or company policy.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893" w:right="936" w:bottom="893" w:left="936" w:header="403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968" w:val="right"/>
      </w:tabs>
      <w:spacing w:before="60" w:after="0"/>
      <w:pBdr>
        <w:top w:val="single" w:sz="5" w:space="4" w:color="0A0A0A"/>
      </w:pBdr>
    </w:pPr>
    <w:r>
      <w:rPr>
        <w:rFonts w:ascii="Arial" w:hAnsi="Arial" w:cs="Arial" w:eastAsia="Arial"/>
        <w:b/>
        <w:i w:val="0"/>
        <w:color w:val="0A0A0A"/>
        <w:sz w:val="14"/>
      </w:rPr>
      <w:t>PUBLIC WORKING RESOURCE  /  FLOW REVIEW WORKSHEET</w:t>
    </w:r>
    <w:r>
      <w:tab/>
      <w:t xml:space="preserve">PAGE </w:t>
    </w:r>
    <w:r>
      <w:rPr>
        <w:rFonts w:ascii="Arial" w:hAnsi="Arial" w:cs="Arial" w:eastAsia="Arial"/>
        <w:color w:val="0A0A0A"/>
        <w:sz w:val="15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13968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5400"/>
      <w:gridCol w:w="8148"/>
      <w:gridCol w:w="420"/>
    </w:tblGrid>
    <w:tr>
      <w:tc>
        <w:tcPr>
          <w:tcW w:type="dxa" w:w="540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</w:pPr>
          <w:r>
            <w:rPr>
              <w:rFonts w:ascii="Arial" w:hAnsi="Arial" w:cs="Arial" w:eastAsia="Arial"/>
              <w:b/>
              <w:i w:val="0"/>
              <w:color w:val="0A0A0A"/>
              <w:sz w:val="16"/>
            </w:rPr>
            <w:t>DAVID BEVERIDGE</w:t>
          </w:r>
        </w:p>
      </w:tc>
      <w:tc>
        <w:tcPr>
          <w:tcW w:type="dxa" w:w="8148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rPr>
              <w:rFonts w:ascii="Arial" w:hAnsi="Arial" w:cs="Arial" w:eastAsia="Arial"/>
              <w:b w:val="0"/>
              <w:i w:val="0"/>
              <w:color w:val="0A0A0A"/>
              <w:sz w:val="15"/>
            </w:rPr>
            <w:t>PRODUCT ENGINEERING OPERATING PARTNER</w:t>
          </w:r>
        </w:p>
      </w:tc>
      <w:tc>
        <w:tcPr>
          <w:tcW w:type="dxa" w:w="420"/>
          <w:tcMar>
            <w:top w:w="0" w:type="dxa"/>
            <w:bottom w:w="0" w:type="dxa"/>
            <w:start w:w="0" w:type="dxa"/>
            <w:end w:w="0" w:type="dxa"/>
          </w:tcMar>
          <w:vAlign w:val="top"/>
          <w:tcBorders>
            <w:top w:val="nil" w:sz="6" w:space="0" w:color="0A0A0A"/>
            <w:left w:val="nil" w:sz="6" w:space="0" w:color="0A0A0A"/>
            <w:bottom w:val="nil" w:sz="6" w:space="0" w:color="0A0A0A"/>
            <w:right w:val="nil" w:sz="6" w:space="0" w:color="0A0A0A"/>
          </w:tcBorders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73736" cy="173736"/>
                <wp:docPr id="1" name="Picture 1" descr="David Beveridge decision-point companion mark" title="Decision-point mark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ecision-point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736" cy="173736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after="0" w:line="20" w:lineRule="exact"/>
      <w:pBdr>
        <w:bottom w:val="single" w:sz="5" w:space="5" w:color="0A0A0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81">
    <w:multiLevelType w:val="singleLevel"/>
    <w:lvl w:ilvl="0">
      <w:start w:val="1"/>
      <w:numFmt w:val="bullet"/>
      <w:lvlText w:val="•"/>
      <w:lvlJc w:val="left"/>
      <w:pPr>
        <w:ind w:left="720" w:hanging="360"/>
        <w:tabs>
          <w:tab w:val="num" w:pos="720"/>
        </w:tabs>
      </w:pPr>
      <w:rPr>
        <w:rFonts w:ascii="Arial" w:hAnsi="Arial"/>
      </w:rPr>
    </w:lvl>
  </w:abstractNum>
  <w:num w:numId="81">
    <w:abstractNumId w:val="81"/>
  </w:num>
  <w:abstractNum w:abstractNumId="82">
    <w:multiLevelType w:val="singleLevel"/>
    <w:lvl w:ilvl="0">
      <w:start w:val="1"/>
      <w:numFmt w:val="decimal"/>
      <w:lvlText w:val="%1."/>
      <w:lvlJc w:val="left"/>
      <w:pPr>
        <w:ind w:left="720" w:hanging="360"/>
        <w:tabs>
          <w:tab w:val="num" w:pos="720"/>
        </w:tabs>
      </w:pPr>
    </w:lvl>
  </w:abstractNum>
  <w:num w:numId="82">
    <w:abstractNumId w:val="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Arial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Aria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Arial" w:hAnsi="Arial" w:cs="Arial"/>
      <w:b w:val="0"/>
      <w:i w:val="0"/>
      <w:color w:val="0A0A0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i w:val="0"/>
      <w:color w:val="0A0A0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 w:cs="Arial"/>
      <w:b/>
      <w:i w:val="0"/>
      <w:color w:val="0A0A0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60" w:line="259" w:lineRule="auto"/>
    </w:pPr>
    <w:rPr>
      <w:rFonts w:asciiTheme="majorHAnsi" w:eastAsiaTheme="majorEastAsia" w:hAnsiTheme="majorHAnsi" w:cstheme="majorBidi" w:ascii="Arial" w:hAnsi="Arial" w:cs="Arial"/>
      <w:b w:val="0"/>
      <w:i w:val="0"/>
      <w:iCs/>
      <w:color w:val="0A0A0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paragraph" w:customStyle="1" w:styleId="Kicker">
    <w:name w:val="Kicker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SmallMetadata">
    <w:name w:val="Small Metadata"/>
    <w:pPr>
      <w:spacing w:before="0" w:after="80" w:line="259" w:lineRule="auto"/>
    </w:pPr>
    <w:rPr>
      <w:rFonts w:ascii="Arial" w:hAnsi="Arial" w:cs="Arial"/>
      <w:b w:val="0"/>
      <w:i w:val="0"/>
      <w:color w:val="0A0A0A"/>
      <w:sz w:val="17"/>
    </w:rPr>
  </w:style>
  <w:style w:type="paragraph" w:customStyle="1" w:styleId="EvidenceLabel">
    <w:name w:val="Evidence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BodySerif">
    <w:name w:val="Body Serif"/>
    <w:pPr>
      <w:spacing w:before="0" w:after="80" w:line="259" w:lineRule="auto"/>
    </w:pPr>
    <w:rPr>
      <w:rFonts w:ascii="Arial" w:hAnsi="Arial" w:cs="Arial"/>
      <w:b w:val="0"/>
      <w:i w:val="0"/>
      <w:color w:val="0A0A0A"/>
      <w:sz w:val="22"/>
    </w:rPr>
  </w:style>
  <w:style w:type="paragraph" w:customStyle="1" w:styleId="BodySans">
    <w:name w:val="Body Sans"/>
    <w:pPr>
      <w:spacing w:before="0" w:after="80" w:line="259" w:lineRule="auto"/>
    </w:pPr>
    <w:rPr>
      <w:rFonts w:ascii="Arial" w:hAnsi="Arial" w:cs="Arial"/>
      <w:b w:val="0"/>
      <w:i w:val="0"/>
      <w:color w:val="0A0A0A"/>
      <w:sz w:val="21"/>
    </w:rPr>
  </w:style>
  <w:style w:type="paragraph" w:customStyle="1" w:styleId="TableHead">
    <w:name w:val="Table Head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TableBody">
    <w:name w:val="Table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19"/>
    </w:rPr>
  </w:style>
  <w:style w:type="paragraph" w:customStyle="1" w:styleId="CalloutLabel">
    <w:name w:val="Callout Label"/>
    <w:pPr>
      <w:spacing w:before="0" w:after="80" w:line="259" w:lineRule="auto"/>
    </w:pPr>
    <w:rPr>
      <w:rFonts w:ascii="Arial" w:hAnsi="Arial" w:cs="Arial"/>
      <w:b/>
      <w:i w:val="0"/>
      <w:color w:val="FF3B1F"/>
      <w:sz w:val="17"/>
    </w:rPr>
  </w:style>
  <w:style w:type="paragraph" w:customStyle="1" w:styleId="CalloutBody">
    <w:name w:val="Callout Body"/>
    <w:pPr>
      <w:spacing w:before="0" w:after="80" w:line="259" w:lineRule="auto"/>
    </w:pPr>
    <w:rPr>
      <w:rFonts w:ascii="Arial" w:hAnsi="Arial" w:cs="Arial"/>
      <w:b w:val="0"/>
      <w:i w:val="0"/>
      <w:color w:val="0A0A0A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0A0A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A0A0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A0A0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0A0A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A0A0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A0A0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A0A0A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A0A0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A0A0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A0A0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A0A0A" w:themeColor="accent1"/>
      </w:pBdr>
      <w:spacing w:before="200" w:after="280"/>
      <w:ind w:left="936" w:right="936"/>
    </w:pPr>
    <w:rPr>
      <w:b/>
      <w:bCs/>
      <w:i/>
      <w:iCs/>
      <w:color w:val="0A0A0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A0A0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A0A0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A0A0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A0A0A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A0A0A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A0A0A" w:themeColor="accent1" w:themeShade="BF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1"/>
          <w:left w:val="nil"/>
          <w:bottom w:val="single" w:sz="8" w:space="0" w:color="0A0A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A0A0A" w:themeColor="accent2" w:themeShade="BF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2"/>
          <w:left w:val="nil"/>
          <w:bottom w:val="single" w:sz="8" w:space="0" w:color="0A0A0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A0A0A" w:themeColor="accent3" w:themeShade="BF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3"/>
          <w:left w:val="nil"/>
          <w:bottom w:val="single" w:sz="8" w:space="0" w:color="0A0A0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A0A0A" w:themeColor="accent4" w:themeShade="BF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4"/>
          <w:left w:val="nil"/>
          <w:bottom w:val="single" w:sz="8" w:space="0" w:color="0A0A0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A0A0A" w:themeColor="accent5" w:themeShade="BF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5"/>
          <w:left w:val="nil"/>
          <w:bottom w:val="single" w:sz="8" w:space="0" w:color="0A0A0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A0A0A" w:themeColor="accent6" w:themeShade="BF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0A0A" w:themeColor="accent6"/>
          <w:left w:val="nil"/>
          <w:bottom w:val="single" w:sz="8" w:space="0" w:color="0A0A0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0A0A0A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1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H w:val="nil"/>
          <w:insideV w:val="single" w:sz="8" w:space="0" w:color="0A0A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</w:tcPr>
    </w:tblStylePr>
    <w:tblStylePr w:type="band1Vert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  <w:shd w:val="clear" w:color="auto" w:fill="0A0A0A" w:themeFill="accent1" w:themeFillTint="3F"/>
      </w:tcPr>
    </w:tblStylePr>
    <w:tblStylePr w:type="band2Horz">
      <w:tblPr/>
      <w:tcPr>
        <w:tcBorders>
          <w:top w:val="single" w:sz="8" w:space="0" w:color="0A0A0A" w:themeColor="accent1"/>
          <w:left w:val="single" w:sz="8" w:space="0" w:color="0A0A0A" w:themeColor="accent1"/>
          <w:bottom w:val="single" w:sz="8" w:space="0" w:color="0A0A0A" w:themeColor="accent1"/>
          <w:right w:val="single" w:sz="8" w:space="0" w:color="0A0A0A" w:themeColor="accent1"/>
          <w:insideV w:val="single" w:sz="8" w:space="0" w:color="0A0A0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1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H w:val="nil"/>
          <w:insideV w:val="single" w:sz="8" w:space="0" w:color="0A0A0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</w:tcPr>
    </w:tblStylePr>
    <w:tblStylePr w:type="band1Vert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  <w:shd w:val="clear" w:color="auto" w:fill="0A0A0A" w:themeFill="accent2" w:themeFillTint="3F"/>
      </w:tcPr>
    </w:tblStylePr>
    <w:tblStylePr w:type="band2Horz">
      <w:tblPr/>
      <w:tcPr>
        <w:tcBorders>
          <w:top w:val="single" w:sz="8" w:space="0" w:color="0A0A0A" w:themeColor="accent2"/>
          <w:left w:val="single" w:sz="8" w:space="0" w:color="0A0A0A" w:themeColor="accent2"/>
          <w:bottom w:val="single" w:sz="8" w:space="0" w:color="0A0A0A" w:themeColor="accent2"/>
          <w:right w:val="single" w:sz="8" w:space="0" w:color="0A0A0A" w:themeColor="accent2"/>
          <w:insideV w:val="single" w:sz="8" w:space="0" w:color="0A0A0A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1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H w:val="nil"/>
          <w:insideV w:val="single" w:sz="8" w:space="0" w:color="0A0A0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</w:tcPr>
    </w:tblStylePr>
    <w:tblStylePr w:type="band1Vert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  <w:shd w:val="clear" w:color="auto" w:fill="0A0A0A" w:themeFill="accent3" w:themeFillTint="3F"/>
      </w:tcPr>
    </w:tblStylePr>
    <w:tblStylePr w:type="band2Horz">
      <w:tblPr/>
      <w:tcPr>
        <w:tcBorders>
          <w:top w:val="single" w:sz="8" w:space="0" w:color="0A0A0A" w:themeColor="accent3"/>
          <w:left w:val="single" w:sz="8" w:space="0" w:color="0A0A0A" w:themeColor="accent3"/>
          <w:bottom w:val="single" w:sz="8" w:space="0" w:color="0A0A0A" w:themeColor="accent3"/>
          <w:right w:val="single" w:sz="8" w:space="0" w:color="0A0A0A" w:themeColor="accent3"/>
          <w:insideV w:val="single" w:sz="8" w:space="0" w:color="0A0A0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1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H w:val="nil"/>
          <w:insideV w:val="single" w:sz="8" w:space="0" w:color="0A0A0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</w:tcPr>
    </w:tblStylePr>
    <w:tblStylePr w:type="band1Vert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  <w:shd w:val="clear" w:color="auto" w:fill="0A0A0A" w:themeFill="accent4" w:themeFillTint="3F"/>
      </w:tcPr>
    </w:tblStylePr>
    <w:tblStylePr w:type="band2Horz">
      <w:tblPr/>
      <w:tcPr>
        <w:tcBorders>
          <w:top w:val="single" w:sz="8" w:space="0" w:color="0A0A0A" w:themeColor="accent4"/>
          <w:left w:val="single" w:sz="8" w:space="0" w:color="0A0A0A" w:themeColor="accent4"/>
          <w:bottom w:val="single" w:sz="8" w:space="0" w:color="0A0A0A" w:themeColor="accent4"/>
          <w:right w:val="single" w:sz="8" w:space="0" w:color="0A0A0A" w:themeColor="accent4"/>
          <w:insideV w:val="single" w:sz="8" w:space="0" w:color="0A0A0A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1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H w:val="nil"/>
          <w:insideV w:val="single" w:sz="8" w:space="0" w:color="0A0A0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</w:tcPr>
    </w:tblStylePr>
    <w:tblStylePr w:type="band1Vert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  <w:shd w:val="clear" w:color="auto" w:fill="0A0A0A" w:themeFill="accent5" w:themeFillTint="3F"/>
      </w:tcPr>
    </w:tblStylePr>
    <w:tblStylePr w:type="band2Horz">
      <w:tblPr/>
      <w:tcPr>
        <w:tcBorders>
          <w:top w:val="single" w:sz="8" w:space="0" w:color="0A0A0A" w:themeColor="accent5"/>
          <w:left w:val="single" w:sz="8" w:space="0" w:color="0A0A0A" w:themeColor="accent5"/>
          <w:bottom w:val="single" w:sz="8" w:space="0" w:color="0A0A0A" w:themeColor="accent5"/>
          <w:right w:val="single" w:sz="8" w:space="0" w:color="0A0A0A" w:themeColor="accent5"/>
          <w:insideV w:val="single" w:sz="8" w:space="0" w:color="0A0A0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1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H w:val="nil"/>
          <w:insideV w:val="single" w:sz="8" w:space="0" w:color="0A0A0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</w:tcPr>
    </w:tblStylePr>
    <w:tblStylePr w:type="band1Vert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  <w:shd w:val="clear" w:color="auto" w:fill="0A0A0A" w:themeFill="accent6" w:themeFillTint="3F"/>
      </w:tcPr>
    </w:tblStylePr>
    <w:tblStylePr w:type="band2Horz">
      <w:tblPr/>
      <w:tcPr>
        <w:tcBorders>
          <w:top w:val="single" w:sz="8" w:space="0" w:color="0A0A0A" w:themeColor="accent6"/>
          <w:left w:val="single" w:sz="8" w:space="0" w:color="0A0A0A" w:themeColor="accent6"/>
          <w:bottom w:val="single" w:sz="8" w:space="0" w:color="0A0A0A" w:themeColor="accent6"/>
          <w:right w:val="single" w:sz="8" w:space="0" w:color="0A0A0A" w:themeColor="accent6"/>
          <w:insideV w:val="single" w:sz="8" w:space="0" w:color="0A0A0A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text1" w:themeTint="BF"/>
          <w:left w:val="single" w:sz="8" w:space="0" w:color="0A0A0A" w:themeColor="text1" w:themeTint="BF"/>
          <w:bottom w:val="single" w:sz="8" w:space="0" w:color="0A0A0A" w:themeColor="text1" w:themeTint="BF"/>
          <w:right w:val="single" w:sz="8" w:space="0" w:color="0A0A0A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1" w:themeTint="BF"/>
          <w:left w:val="single" w:sz="8" w:space="0" w:color="0A0A0A" w:themeColor="accent1" w:themeTint="BF"/>
          <w:bottom w:val="single" w:sz="8" w:space="0" w:color="0A0A0A" w:themeColor="accent1" w:themeTint="BF"/>
          <w:right w:val="single" w:sz="8" w:space="0" w:color="0A0A0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2" w:themeTint="BF"/>
          <w:left w:val="single" w:sz="8" w:space="0" w:color="0A0A0A" w:themeColor="accent2" w:themeTint="BF"/>
          <w:bottom w:val="single" w:sz="8" w:space="0" w:color="0A0A0A" w:themeColor="accent2" w:themeTint="BF"/>
          <w:right w:val="single" w:sz="8" w:space="0" w:color="0A0A0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3" w:themeTint="BF"/>
          <w:left w:val="single" w:sz="8" w:space="0" w:color="0A0A0A" w:themeColor="accent3" w:themeTint="BF"/>
          <w:bottom w:val="single" w:sz="8" w:space="0" w:color="0A0A0A" w:themeColor="accent3" w:themeTint="BF"/>
          <w:right w:val="single" w:sz="8" w:space="0" w:color="0A0A0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4" w:themeTint="BF"/>
          <w:left w:val="single" w:sz="8" w:space="0" w:color="0A0A0A" w:themeColor="accent4" w:themeTint="BF"/>
          <w:bottom w:val="single" w:sz="8" w:space="0" w:color="0A0A0A" w:themeColor="accent4" w:themeTint="BF"/>
          <w:right w:val="single" w:sz="8" w:space="0" w:color="0A0A0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5" w:themeTint="BF"/>
          <w:left w:val="single" w:sz="8" w:space="0" w:color="0A0A0A" w:themeColor="accent5" w:themeTint="BF"/>
          <w:bottom w:val="single" w:sz="8" w:space="0" w:color="0A0A0A" w:themeColor="accent5" w:themeTint="BF"/>
          <w:right w:val="single" w:sz="8" w:space="0" w:color="0A0A0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0A0A" w:themeColor="accent6" w:themeTint="BF"/>
          <w:left w:val="single" w:sz="8" w:space="0" w:color="0A0A0A" w:themeColor="accent6" w:themeTint="BF"/>
          <w:bottom w:val="single" w:sz="8" w:space="0" w:color="0A0A0A" w:themeColor="accent6" w:themeTint="BF"/>
          <w:right w:val="single" w:sz="8" w:space="0" w:color="0A0A0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0A0A0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background1" w:themeFillShade="D8"/>
      </w:tcPr>
    </w:tblStylePr>
    <w:tblStylePr w:type="band1Horz">
      <w:tblPr/>
      <w:tcPr>
        <w:shd w:val="clear" w:color="auto" w:fill="0A0A0A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bottom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1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1"/>
          <w:bottom w:val="single" w:sz="8" w:space="0" w:color="0A0A0A" w:themeColor="accent1"/>
        </w:tcBorders>
      </w:tcPr>
    </w:tblStylePr>
    <w:tblStylePr w:type="band1Vert">
      <w:tblPr/>
      <w:tcPr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bottom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2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2"/>
          <w:bottom w:val="single" w:sz="8" w:space="0" w:color="0A0A0A" w:themeColor="accent2"/>
        </w:tcBorders>
      </w:tcPr>
    </w:tblStylePr>
    <w:tblStylePr w:type="band1Vert">
      <w:tblPr/>
      <w:tcPr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bottom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3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3"/>
          <w:bottom w:val="single" w:sz="8" w:space="0" w:color="0A0A0A" w:themeColor="accent3"/>
        </w:tcBorders>
      </w:tcPr>
    </w:tblStylePr>
    <w:tblStylePr w:type="band1Vert">
      <w:tblPr/>
      <w:tcPr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bottom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4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4"/>
          <w:bottom w:val="single" w:sz="8" w:space="0" w:color="0A0A0A" w:themeColor="accent4"/>
        </w:tcBorders>
      </w:tcPr>
    </w:tblStylePr>
    <w:tblStylePr w:type="band1Vert">
      <w:tblPr/>
      <w:tcPr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bottom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5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5"/>
          <w:bottom w:val="single" w:sz="8" w:space="0" w:color="0A0A0A" w:themeColor="accent5"/>
        </w:tcBorders>
      </w:tcPr>
    </w:tblStylePr>
    <w:tblStylePr w:type="band1Vert">
      <w:tblPr/>
      <w:tcPr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bottom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0A0A" w:themeColor="accent6"/>
        </w:tcBorders>
      </w:tcPr>
    </w:tblStylePr>
    <w:tblStylePr w:type="lastRow">
      <w:rPr>
        <w:b/>
        <w:bCs/>
        <w:color w:val="0A0A0A" w:themeColor="text2"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0A0A" w:themeColor="accent6"/>
          <w:bottom w:val="single" w:sz="8" w:space="0" w:color="0A0A0A" w:themeColor="accent6"/>
        </w:tcBorders>
      </w:tcPr>
    </w:tblStylePr>
    <w:tblStylePr w:type="band1Vert">
      <w:tblPr/>
      <w:tcPr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0A0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0A0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0A0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0A0A0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text1" w:themeTint="BF"/>
        <w:left w:val="single" w:sz="8" w:space="0" w:color="0A0A0A" w:themeColor="text1" w:themeTint="BF"/>
        <w:bottom w:val="single" w:sz="8" w:space="0" w:color="0A0A0A" w:themeColor="text1" w:themeTint="BF"/>
        <w:right w:val="single" w:sz="8" w:space="0" w:color="0A0A0A" w:themeColor="text1" w:themeTint="BF"/>
        <w:insideH w:val="single" w:sz="8" w:space="0" w:color="0A0A0A" w:themeColor="text1" w:themeTint="BF"/>
        <w:insideV w:val="single" w:sz="8" w:space="0" w:color="0A0A0A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1" w:themeTint="BF"/>
        <w:left w:val="single" w:sz="8" w:space="0" w:color="0A0A0A" w:themeColor="accent1" w:themeTint="BF"/>
        <w:bottom w:val="single" w:sz="8" w:space="0" w:color="0A0A0A" w:themeColor="accent1" w:themeTint="BF"/>
        <w:right w:val="single" w:sz="8" w:space="0" w:color="0A0A0A" w:themeColor="accent1" w:themeTint="BF"/>
        <w:insideH w:val="single" w:sz="8" w:space="0" w:color="0A0A0A" w:themeColor="accent1" w:themeTint="BF"/>
        <w:insideV w:val="single" w:sz="8" w:space="0" w:color="0A0A0A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2" w:themeTint="BF"/>
        <w:left w:val="single" w:sz="8" w:space="0" w:color="0A0A0A" w:themeColor="accent2" w:themeTint="BF"/>
        <w:bottom w:val="single" w:sz="8" w:space="0" w:color="0A0A0A" w:themeColor="accent2" w:themeTint="BF"/>
        <w:right w:val="single" w:sz="8" w:space="0" w:color="0A0A0A" w:themeColor="accent2" w:themeTint="BF"/>
        <w:insideH w:val="single" w:sz="8" w:space="0" w:color="0A0A0A" w:themeColor="accent2" w:themeTint="BF"/>
        <w:insideV w:val="single" w:sz="8" w:space="0" w:color="0A0A0A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3" w:themeTint="BF"/>
        <w:left w:val="single" w:sz="8" w:space="0" w:color="0A0A0A" w:themeColor="accent3" w:themeTint="BF"/>
        <w:bottom w:val="single" w:sz="8" w:space="0" w:color="0A0A0A" w:themeColor="accent3" w:themeTint="BF"/>
        <w:right w:val="single" w:sz="8" w:space="0" w:color="0A0A0A" w:themeColor="accent3" w:themeTint="BF"/>
        <w:insideH w:val="single" w:sz="8" w:space="0" w:color="0A0A0A" w:themeColor="accent3" w:themeTint="BF"/>
        <w:insideV w:val="single" w:sz="8" w:space="0" w:color="0A0A0A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4" w:themeTint="BF"/>
        <w:left w:val="single" w:sz="8" w:space="0" w:color="0A0A0A" w:themeColor="accent4" w:themeTint="BF"/>
        <w:bottom w:val="single" w:sz="8" w:space="0" w:color="0A0A0A" w:themeColor="accent4" w:themeTint="BF"/>
        <w:right w:val="single" w:sz="8" w:space="0" w:color="0A0A0A" w:themeColor="accent4" w:themeTint="BF"/>
        <w:insideH w:val="single" w:sz="8" w:space="0" w:color="0A0A0A" w:themeColor="accent4" w:themeTint="BF"/>
        <w:insideV w:val="single" w:sz="8" w:space="0" w:color="0A0A0A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5" w:themeTint="BF"/>
        <w:left w:val="single" w:sz="8" w:space="0" w:color="0A0A0A" w:themeColor="accent5" w:themeTint="BF"/>
        <w:bottom w:val="single" w:sz="8" w:space="0" w:color="0A0A0A" w:themeColor="accent5" w:themeTint="BF"/>
        <w:right w:val="single" w:sz="8" w:space="0" w:color="0A0A0A" w:themeColor="accent5" w:themeTint="BF"/>
        <w:insideH w:val="single" w:sz="8" w:space="0" w:color="0A0A0A" w:themeColor="accent5" w:themeTint="BF"/>
        <w:insideV w:val="single" w:sz="8" w:space="0" w:color="0A0A0A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A0A0A" w:themeColor="accent6" w:themeTint="BF"/>
        <w:left w:val="single" w:sz="8" w:space="0" w:color="0A0A0A" w:themeColor="accent6" w:themeTint="BF"/>
        <w:bottom w:val="single" w:sz="8" w:space="0" w:color="0A0A0A" w:themeColor="accent6" w:themeTint="BF"/>
        <w:right w:val="single" w:sz="8" w:space="0" w:color="0A0A0A" w:themeColor="accent6" w:themeTint="BF"/>
        <w:insideH w:val="single" w:sz="8" w:space="0" w:color="0A0A0A" w:themeColor="accent6" w:themeTint="BF"/>
        <w:insideV w:val="single" w:sz="8" w:space="0" w:color="0A0A0A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A0A0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3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0A0A0A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1"/>
        <w:left w:val="single" w:sz="8" w:space="0" w:color="0A0A0A" w:themeColor="accent1"/>
        <w:bottom w:val="single" w:sz="8" w:space="0" w:color="0A0A0A" w:themeColor="accent1"/>
        <w:right w:val="single" w:sz="8" w:space="0" w:color="0A0A0A" w:themeColor="accent1"/>
        <w:insideH w:val="single" w:sz="8" w:space="0" w:color="0A0A0A" w:themeColor="accent1"/>
        <w:insideV w:val="single" w:sz="8" w:space="0" w:color="0A0A0A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3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tcBorders>
          <w:insideH w:val="single" w:sz="6" w:space="0" w:color="0A0A0A" w:themeColor="accent1"/>
          <w:insideV w:val="single" w:sz="6" w:space="0" w:color="0A0A0A" w:themeColor="accent1"/>
        </w:tcBorders>
        <w:shd w:val="clear" w:color="auto" w:fill="0A0A0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2"/>
        <w:left w:val="single" w:sz="8" w:space="0" w:color="0A0A0A" w:themeColor="accent2"/>
        <w:bottom w:val="single" w:sz="8" w:space="0" w:color="0A0A0A" w:themeColor="accent2"/>
        <w:right w:val="single" w:sz="8" w:space="0" w:color="0A0A0A" w:themeColor="accent2"/>
        <w:insideH w:val="single" w:sz="8" w:space="0" w:color="0A0A0A" w:themeColor="accent2"/>
        <w:insideV w:val="single" w:sz="8" w:space="0" w:color="0A0A0A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3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tcBorders>
          <w:insideH w:val="single" w:sz="6" w:space="0" w:color="0A0A0A" w:themeColor="accent2"/>
          <w:insideV w:val="single" w:sz="6" w:space="0" w:color="0A0A0A" w:themeColor="accent2"/>
        </w:tcBorders>
        <w:shd w:val="clear" w:color="auto" w:fill="0A0A0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3"/>
        <w:left w:val="single" w:sz="8" w:space="0" w:color="0A0A0A" w:themeColor="accent3"/>
        <w:bottom w:val="single" w:sz="8" w:space="0" w:color="0A0A0A" w:themeColor="accent3"/>
        <w:right w:val="single" w:sz="8" w:space="0" w:color="0A0A0A" w:themeColor="accent3"/>
        <w:insideH w:val="single" w:sz="8" w:space="0" w:color="0A0A0A" w:themeColor="accent3"/>
        <w:insideV w:val="single" w:sz="8" w:space="0" w:color="0A0A0A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3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tcBorders>
          <w:insideH w:val="single" w:sz="6" w:space="0" w:color="0A0A0A" w:themeColor="accent3"/>
          <w:insideV w:val="single" w:sz="6" w:space="0" w:color="0A0A0A" w:themeColor="accent3"/>
        </w:tcBorders>
        <w:shd w:val="clear" w:color="auto" w:fill="0A0A0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4"/>
        <w:left w:val="single" w:sz="8" w:space="0" w:color="0A0A0A" w:themeColor="accent4"/>
        <w:bottom w:val="single" w:sz="8" w:space="0" w:color="0A0A0A" w:themeColor="accent4"/>
        <w:right w:val="single" w:sz="8" w:space="0" w:color="0A0A0A" w:themeColor="accent4"/>
        <w:insideH w:val="single" w:sz="8" w:space="0" w:color="0A0A0A" w:themeColor="accent4"/>
        <w:insideV w:val="single" w:sz="8" w:space="0" w:color="0A0A0A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3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tcBorders>
          <w:insideH w:val="single" w:sz="6" w:space="0" w:color="0A0A0A" w:themeColor="accent4"/>
          <w:insideV w:val="single" w:sz="6" w:space="0" w:color="0A0A0A" w:themeColor="accent4"/>
        </w:tcBorders>
        <w:shd w:val="clear" w:color="auto" w:fill="0A0A0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5"/>
        <w:left w:val="single" w:sz="8" w:space="0" w:color="0A0A0A" w:themeColor="accent5"/>
        <w:bottom w:val="single" w:sz="8" w:space="0" w:color="0A0A0A" w:themeColor="accent5"/>
        <w:right w:val="single" w:sz="8" w:space="0" w:color="0A0A0A" w:themeColor="accent5"/>
        <w:insideH w:val="single" w:sz="8" w:space="0" w:color="0A0A0A" w:themeColor="accent5"/>
        <w:insideV w:val="single" w:sz="8" w:space="0" w:color="0A0A0A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3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tcBorders>
          <w:insideH w:val="single" w:sz="6" w:space="0" w:color="0A0A0A" w:themeColor="accent5"/>
          <w:insideV w:val="single" w:sz="6" w:space="0" w:color="0A0A0A" w:themeColor="accent5"/>
        </w:tcBorders>
        <w:shd w:val="clear" w:color="auto" w:fill="0A0A0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A0A0A" w:themeColor="accent6"/>
        <w:left w:val="single" w:sz="8" w:space="0" w:color="0A0A0A" w:themeColor="accent6"/>
        <w:bottom w:val="single" w:sz="8" w:space="0" w:color="0A0A0A" w:themeColor="accent6"/>
        <w:right w:val="single" w:sz="8" w:space="0" w:color="0A0A0A" w:themeColor="accent6"/>
        <w:insideH w:val="single" w:sz="8" w:space="0" w:color="0A0A0A" w:themeColor="accent6"/>
        <w:insideV w:val="single" w:sz="8" w:space="0" w:color="0A0A0A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0A0A0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3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tcBorders>
          <w:insideH w:val="single" w:sz="6" w:space="0" w:color="0A0A0A" w:themeColor="accent6"/>
          <w:insideV w:val="single" w:sz="6" w:space="0" w:color="0A0A0A" w:themeColor="accent6"/>
        </w:tcBorders>
        <w:shd w:val="clear" w:color="auto" w:fill="0A0A0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0A0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0A0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0A0A0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0A0A0A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A0A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66"/>
      </w:tcPr>
    </w:tblStylePr>
    <w:tblStylePr w:type="band1Horz">
      <w:tblPr/>
      <w:tcPr>
        <w:shd w:val="clear" w:color="auto" w:fill="0A0A0A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1"/>
        <w:bottom w:val="single" w:sz="4" w:space="0" w:color="0A0A0A" w:themeColor="accent1"/>
        <w:right w:val="single" w:sz="4" w:space="0" w:color="0A0A0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1" w:themeShade="99"/>
          <w:insideV w:val="nil"/>
        </w:tcBorders>
        <w:shd w:val="clear" w:color="auto" w:fill="0A0A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Shade="99"/>
      </w:tcPr>
    </w:tblStylePr>
    <w:tblStylePr w:type="band1Vert">
      <w:tblPr/>
      <w:tcPr>
        <w:shd w:val="clear" w:color="auto" w:fill="0A0A0A" w:themeFill="accent1" w:themeFillTint="66"/>
      </w:tcPr>
    </w:tblStylePr>
    <w:tblStylePr w:type="band1Horz">
      <w:tblPr/>
      <w:tcPr>
        <w:shd w:val="clear" w:color="auto" w:fill="0A0A0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2"/>
        <w:left w:val="single" w:sz="4" w:space="0" w:color="0A0A0A" w:themeColor="accent2"/>
        <w:bottom w:val="single" w:sz="4" w:space="0" w:color="0A0A0A" w:themeColor="accent2"/>
        <w:right w:val="single" w:sz="4" w:space="0" w:color="0A0A0A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2" w:themeShade="99"/>
          <w:insideV w:val="nil"/>
        </w:tcBorders>
        <w:shd w:val="clear" w:color="auto" w:fill="0A0A0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Shade="99"/>
      </w:tcPr>
    </w:tblStylePr>
    <w:tblStylePr w:type="band1Vert">
      <w:tblPr/>
      <w:tcPr>
        <w:shd w:val="clear" w:color="auto" w:fill="0A0A0A" w:themeFill="accent2" w:themeFillTint="66"/>
      </w:tcPr>
    </w:tblStylePr>
    <w:tblStylePr w:type="band1Horz">
      <w:tblPr/>
      <w:tcPr>
        <w:shd w:val="clear" w:color="auto" w:fill="0A0A0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4"/>
        <w:left w:val="single" w:sz="4" w:space="0" w:color="0A0A0A" w:themeColor="accent3"/>
        <w:bottom w:val="single" w:sz="4" w:space="0" w:color="0A0A0A" w:themeColor="accent3"/>
        <w:right w:val="single" w:sz="4" w:space="0" w:color="0A0A0A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3" w:themeShade="99"/>
          <w:insideV w:val="nil"/>
        </w:tcBorders>
        <w:shd w:val="clear" w:color="auto" w:fill="0A0A0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Shade="99"/>
      </w:tcPr>
    </w:tblStylePr>
    <w:tblStylePr w:type="band1Vert">
      <w:tblPr/>
      <w:tcPr>
        <w:shd w:val="clear" w:color="auto" w:fill="0A0A0A" w:themeFill="accent3" w:themeFillTint="66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3"/>
        <w:left w:val="single" w:sz="4" w:space="0" w:color="0A0A0A" w:themeColor="accent4"/>
        <w:bottom w:val="single" w:sz="4" w:space="0" w:color="0A0A0A" w:themeColor="accent4"/>
        <w:right w:val="single" w:sz="4" w:space="0" w:color="0A0A0A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4" w:themeShade="99"/>
          <w:insideV w:val="nil"/>
        </w:tcBorders>
        <w:shd w:val="clear" w:color="auto" w:fill="0A0A0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Shade="99"/>
      </w:tcPr>
    </w:tblStylePr>
    <w:tblStylePr w:type="band1Vert">
      <w:tblPr/>
      <w:tcPr>
        <w:shd w:val="clear" w:color="auto" w:fill="0A0A0A" w:themeFill="accent4" w:themeFillTint="66"/>
      </w:tcPr>
    </w:tblStylePr>
    <w:tblStylePr w:type="band1Horz">
      <w:tblPr/>
      <w:tcPr>
        <w:shd w:val="clear" w:color="auto" w:fill="0A0A0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6"/>
        <w:left w:val="single" w:sz="4" w:space="0" w:color="0A0A0A" w:themeColor="accent5"/>
        <w:bottom w:val="single" w:sz="4" w:space="0" w:color="0A0A0A" w:themeColor="accent5"/>
        <w:right w:val="single" w:sz="4" w:space="0" w:color="0A0A0A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5" w:themeShade="99"/>
          <w:insideV w:val="nil"/>
        </w:tcBorders>
        <w:shd w:val="clear" w:color="auto" w:fill="0A0A0A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Shade="99"/>
      </w:tcPr>
    </w:tblStylePr>
    <w:tblStylePr w:type="band1Vert">
      <w:tblPr/>
      <w:tcPr>
        <w:shd w:val="clear" w:color="auto" w:fill="0A0A0A" w:themeFill="accent5" w:themeFillTint="66"/>
      </w:tcPr>
    </w:tblStylePr>
    <w:tblStylePr w:type="band1Horz">
      <w:tblPr/>
      <w:tcPr>
        <w:shd w:val="clear" w:color="auto" w:fill="0A0A0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0A0A0A" w:themeColor="accent5"/>
        <w:left w:val="single" w:sz="4" w:space="0" w:color="0A0A0A" w:themeColor="accent6"/>
        <w:bottom w:val="single" w:sz="4" w:space="0" w:color="0A0A0A" w:themeColor="accent6"/>
        <w:right w:val="single" w:sz="4" w:space="0" w:color="0A0A0A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0A0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A0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A0A" w:themeColor="accent6" w:themeShade="99"/>
          <w:insideV w:val="nil"/>
        </w:tcBorders>
        <w:shd w:val="clear" w:color="auto" w:fill="0A0A0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Shade="99"/>
      </w:tcPr>
    </w:tblStylePr>
    <w:tblStylePr w:type="band1Vert">
      <w:tblPr/>
      <w:tcPr>
        <w:shd w:val="clear" w:color="auto" w:fill="0A0A0A" w:themeFill="accent6" w:themeFillTint="66"/>
      </w:tcPr>
    </w:tblStylePr>
    <w:tblStylePr w:type="band1Horz">
      <w:tblPr/>
      <w:tcPr>
        <w:shd w:val="clear" w:color="auto" w:fill="0A0A0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text1" w:themeFillTint="3F"/>
      </w:tcPr>
    </w:tblStylePr>
    <w:tblStylePr w:type="band1Horz">
      <w:tblPr/>
      <w:tcPr>
        <w:shd w:val="clear" w:color="auto" w:fill="0A0A0A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1" w:themeFillTint="3F"/>
      </w:tcPr>
    </w:tblStylePr>
    <w:tblStylePr w:type="band1Horz">
      <w:tblPr/>
      <w:tcPr>
        <w:shd w:val="clear" w:color="auto" w:fill="0A0A0A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2" w:themeFillShade="CC"/>
      </w:tcPr>
    </w:tblStylePr>
    <w:tblStylePr w:type="lastRow">
      <w:rPr>
        <w:b/>
        <w:bCs/>
        <w:color w:val="0A0A0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2" w:themeFillTint="3F"/>
      </w:tcPr>
    </w:tblStylePr>
    <w:tblStylePr w:type="band1Horz">
      <w:tblPr/>
      <w:tcPr>
        <w:shd w:val="clear" w:color="auto" w:fill="0A0A0A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4" w:themeFillShade="CC"/>
      </w:tcPr>
    </w:tblStylePr>
    <w:tblStylePr w:type="lastRow">
      <w:rPr>
        <w:b/>
        <w:bCs/>
        <w:color w:val="0A0A0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3" w:themeFillTint="3F"/>
      </w:tcPr>
    </w:tblStylePr>
    <w:tblStylePr w:type="band1Horz">
      <w:tblPr/>
      <w:tcPr>
        <w:shd w:val="clear" w:color="auto" w:fill="0A0A0A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3" w:themeFillShade="CC"/>
      </w:tcPr>
    </w:tblStylePr>
    <w:tblStylePr w:type="lastRow">
      <w:rPr>
        <w:b/>
        <w:bCs/>
        <w:color w:val="0A0A0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4" w:themeFillTint="3F"/>
      </w:tcPr>
    </w:tblStylePr>
    <w:tblStylePr w:type="band1Horz">
      <w:tblPr/>
      <w:tcPr>
        <w:shd w:val="clear" w:color="auto" w:fill="0A0A0A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6" w:themeFillShade="CC"/>
      </w:tcPr>
    </w:tblStylePr>
    <w:tblStylePr w:type="lastRow">
      <w:rPr>
        <w:b/>
        <w:bCs/>
        <w:color w:val="0A0A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5" w:themeFillTint="3F"/>
      </w:tcPr>
    </w:tblStylePr>
    <w:tblStylePr w:type="band1Horz">
      <w:tblPr/>
      <w:tcPr>
        <w:shd w:val="clear" w:color="auto" w:fill="0A0A0A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0A0A" w:themeFill="accent5" w:themeFillShade="CC"/>
      </w:tcPr>
    </w:tblStylePr>
    <w:tblStylePr w:type="lastRow">
      <w:rPr>
        <w:b/>
        <w:bCs/>
        <w:color w:val="0A0A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A0A" w:themeFill="accent6" w:themeFillTint="3F"/>
      </w:tcPr>
    </w:tblStylePr>
    <w:tblStylePr w:type="band1Horz">
      <w:tblPr/>
      <w:tcPr>
        <w:shd w:val="clear" w:color="auto" w:fill="0A0A0A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text1" w:themeFillTint="33"/>
    </w:tcPr>
    <w:tblStylePr w:type="firstRow">
      <w:rPr>
        <w:b/>
        <w:bCs/>
      </w:rPr>
      <w:tblPr/>
      <w:tcPr>
        <w:shd w:val="clear" w:color="auto" w:fill="0A0A0A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0A0A0A" w:themeFill="text1" w:themeFillTint="7F"/>
      </w:tcPr>
    </w:tblStylePr>
    <w:tblStylePr w:type="band1Horz">
      <w:tblPr/>
      <w:tcPr>
        <w:shd w:val="clear" w:color="auto" w:fill="0A0A0A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1" w:themeFillTint="33"/>
    </w:tcPr>
    <w:tblStylePr w:type="firstRow">
      <w:rPr>
        <w:b/>
        <w:bCs/>
      </w:rPr>
      <w:tblPr/>
      <w:tcPr>
        <w:shd w:val="clear" w:color="auto" w:fill="0A0A0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1" w:themeFillShade="BF"/>
      </w:tcPr>
    </w:tblStylePr>
    <w:tblStylePr w:type="band1Vert">
      <w:tblPr/>
      <w:tcPr>
        <w:shd w:val="clear" w:color="auto" w:fill="0A0A0A" w:themeFill="accent1" w:themeFillTint="7F"/>
      </w:tcPr>
    </w:tblStylePr>
    <w:tblStylePr w:type="band1Horz">
      <w:tblPr/>
      <w:tcPr>
        <w:shd w:val="clear" w:color="auto" w:fill="0A0A0A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2" w:themeFillTint="33"/>
    </w:tcPr>
    <w:tblStylePr w:type="firstRow">
      <w:rPr>
        <w:b/>
        <w:bCs/>
      </w:rPr>
      <w:tblPr/>
      <w:tcPr>
        <w:shd w:val="clear" w:color="auto" w:fill="0A0A0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2" w:themeFillShade="BF"/>
      </w:tcPr>
    </w:tblStylePr>
    <w:tblStylePr w:type="band1Vert">
      <w:tblPr/>
      <w:tcPr>
        <w:shd w:val="clear" w:color="auto" w:fill="0A0A0A" w:themeFill="accent2" w:themeFillTint="7F"/>
      </w:tcPr>
    </w:tblStylePr>
    <w:tblStylePr w:type="band1Horz">
      <w:tblPr/>
      <w:tcPr>
        <w:shd w:val="clear" w:color="auto" w:fill="0A0A0A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3" w:themeFillTint="33"/>
    </w:tcPr>
    <w:tblStylePr w:type="firstRow">
      <w:rPr>
        <w:b/>
        <w:bCs/>
      </w:rPr>
      <w:tblPr/>
      <w:tcPr>
        <w:shd w:val="clear" w:color="auto" w:fill="0A0A0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3" w:themeFillShade="BF"/>
      </w:tcPr>
    </w:tblStylePr>
    <w:tblStylePr w:type="band1Vert">
      <w:tblPr/>
      <w:tcPr>
        <w:shd w:val="clear" w:color="auto" w:fill="0A0A0A" w:themeFill="accent3" w:themeFillTint="7F"/>
      </w:tcPr>
    </w:tblStylePr>
    <w:tblStylePr w:type="band1Horz">
      <w:tblPr/>
      <w:tcPr>
        <w:shd w:val="clear" w:color="auto" w:fill="0A0A0A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4" w:themeFillTint="33"/>
    </w:tcPr>
    <w:tblStylePr w:type="firstRow">
      <w:rPr>
        <w:b/>
        <w:bCs/>
      </w:rPr>
      <w:tblPr/>
      <w:tcPr>
        <w:shd w:val="clear" w:color="auto" w:fill="0A0A0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4" w:themeFillShade="BF"/>
      </w:tcPr>
    </w:tblStylePr>
    <w:tblStylePr w:type="band1Vert">
      <w:tblPr/>
      <w:tcPr>
        <w:shd w:val="clear" w:color="auto" w:fill="0A0A0A" w:themeFill="accent4" w:themeFillTint="7F"/>
      </w:tcPr>
    </w:tblStylePr>
    <w:tblStylePr w:type="band1Horz">
      <w:tblPr/>
      <w:tcPr>
        <w:shd w:val="clear" w:color="auto" w:fill="0A0A0A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5" w:themeFillTint="33"/>
    </w:tcPr>
    <w:tblStylePr w:type="firstRow">
      <w:rPr>
        <w:b/>
        <w:bCs/>
      </w:rPr>
      <w:tblPr/>
      <w:tcPr>
        <w:shd w:val="clear" w:color="auto" w:fill="0A0A0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5" w:themeFillShade="BF"/>
      </w:tcPr>
    </w:tblStylePr>
    <w:tblStylePr w:type="band1Vert">
      <w:tblPr/>
      <w:tcPr>
        <w:shd w:val="clear" w:color="auto" w:fill="0A0A0A" w:themeFill="accent5" w:themeFillTint="7F"/>
      </w:tcPr>
    </w:tblStylePr>
    <w:tblStylePr w:type="band1Horz">
      <w:tblPr/>
      <w:tcPr>
        <w:shd w:val="clear" w:color="auto" w:fill="0A0A0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A0A0A" w:themeFill="accent6" w:themeFillTint="33"/>
    </w:tcPr>
    <w:tblStylePr w:type="firstRow">
      <w:rPr>
        <w:b/>
        <w:bCs/>
      </w:rPr>
      <w:tblPr/>
      <w:tcPr>
        <w:shd w:val="clear" w:color="auto" w:fill="0A0A0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0A0A0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A0A0A" w:themeFill="accent6" w:themeFillShade="BF"/>
      </w:tcPr>
    </w:tblStylePr>
    <w:tblStylePr w:type="band1Vert">
      <w:tblPr/>
      <w:tcPr>
        <w:shd w:val="clear" w:color="auto" w:fill="0A0A0A" w:themeFill="accent6" w:themeFillTint="7F"/>
      </w:tcPr>
    </w:tblStylePr>
    <w:tblStylePr w:type="band1Horz">
      <w:tblPr/>
      <w:tcPr>
        <w:shd w:val="clear" w:color="auto" w:fill="0A0A0A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A0A0A"/>
      </a:dk2>
      <a:lt2>
        <a:srgbClr val="0A0A0A"/>
      </a:lt2>
      <a:accent1>
        <a:srgbClr val="0A0A0A"/>
      </a:accent1>
      <a:accent2>
        <a:srgbClr val="0A0A0A"/>
      </a:accent2>
      <a:accent3>
        <a:srgbClr val="0A0A0A"/>
      </a:accent3>
      <a:accent4>
        <a:srgbClr val="0A0A0A"/>
      </a:accent4>
      <a:accent5>
        <a:srgbClr val="0A0A0A"/>
      </a:accent5>
      <a:accent6>
        <a:srgbClr val="0A0A0A"/>
      </a:accent6>
      <a:hlink>
        <a:srgbClr val="0A0A0A"/>
      </a:hlink>
      <a:folHlink>
        <a:srgbClr val="0A0A0A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0A0A0A"/>
              </a:schemeClr>
            </a:gs>
            <a:gs pos="35000">
              <a:schemeClr val="phClr">
                <a:tint val="37000"/>
                <a:satMod val="0A0A0A"/>
              </a:schemeClr>
            </a:gs>
            <a:gs pos="100000">
              <a:schemeClr val="phClr">
                <a:tint val="15000"/>
                <a:satMod val="0A0A0A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0A0A0A"/>
                <a:shade val="0A0A0A"/>
                <a:satMod val="0A0A0A"/>
              </a:schemeClr>
            </a:gs>
            <a:gs pos="100000">
              <a:schemeClr val="phClr">
                <a:tint val="50000"/>
                <a:shade val="0A0A0A"/>
                <a:satMod val="0A0A0A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0A0A0A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0A0A0A"/>
              </a:schemeClr>
            </a:gs>
            <a:gs pos="40000">
              <a:schemeClr val="phClr">
                <a:tint val="45000"/>
                <a:shade val="99000"/>
                <a:satMod val="0A0A0A"/>
              </a:schemeClr>
            </a:gs>
            <a:gs pos="100000">
              <a:schemeClr val="phClr">
                <a:shade val="20000"/>
                <a:satMod val="0A0A0A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0A0A0A"/>
              </a:schemeClr>
            </a:gs>
            <a:gs pos="100000">
              <a:schemeClr val="phClr">
                <a:shade val="30000"/>
                <a:satMod val="0A0A0A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 Review Worksheet</dc:title>
  <dc:subject>Editable product-engineering operating-system working resource</dc:subject>
  <dc:creator>David Beveridge</dc:creator>
  <cp:keywords/>
  <dc:description>Client-neutral public worksheet. Follow the stated boundary and local policies.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